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29CE19">
      <w:pPr>
        <w:pStyle w:val="3"/>
        <w:jc w:val="both"/>
        <w:rPr>
          <w:rFonts w:ascii="Times New Roman" w:hAnsi="Times New Roman" w:cs="Times New Roman"/>
          <w:b/>
          <w:bCs/>
          <w:color w:val="auto"/>
          <w:sz w:val="24"/>
          <w:szCs w:val="24"/>
        </w:rPr>
      </w:pPr>
      <w:bookmarkStart w:id="1" w:name="_GoBack"/>
      <w:bookmarkEnd w:id="1"/>
    </w:p>
    <w:p w14:paraId="77D42478">
      <w:pPr>
        <w:pStyle w:val="19"/>
        <w:jc w:val="center"/>
        <w:rPr>
          <w:rFonts w:ascii="Times New Roman" w:hAnsi="Times New Roman" w:eastAsia="SimSun"/>
          <w:b/>
          <w:bCs/>
          <w:sz w:val="24"/>
          <w:szCs w:val="24"/>
          <w:lang w:val="en-US"/>
        </w:rPr>
      </w:pPr>
    </w:p>
    <w:p w14:paraId="2377289A">
      <w:pPr>
        <w:pStyle w:val="19"/>
        <w:jc w:val="center"/>
        <w:rPr>
          <w:rFonts w:ascii="Times New Roman" w:hAnsi="Times New Roman" w:eastAsia="SimSun"/>
          <w:b/>
          <w:bCs/>
          <w:sz w:val="24"/>
          <w:szCs w:val="24"/>
          <w:lang w:val="en-US"/>
        </w:rPr>
      </w:pPr>
    </w:p>
    <w:p w14:paraId="7A04DD8F">
      <w:pPr>
        <w:pStyle w:val="19"/>
        <w:jc w:val="center"/>
        <w:rPr>
          <w:rFonts w:ascii="Times New Roman" w:hAnsi="Times New Roman" w:eastAsia="SimSun"/>
          <w:b/>
          <w:bCs/>
          <w:sz w:val="24"/>
          <w:szCs w:val="24"/>
          <w:lang w:val="en-US"/>
        </w:rPr>
      </w:pPr>
    </w:p>
    <w:p w14:paraId="5BFDCADD">
      <w:pPr>
        <w:pStyle w:val="19"/>
        <w:jc w:val="center"/>
        <w:rPr>
          <w:rFonts w:ascii="Times New Roman" w:hAnsi="Times New Roman" w:eastAsia="SimSun"/>
          <w:b/>
          <w:bCs/>
          <w:sz w:val="24"/>
          <w:szCs w:val="24"/>
          <w:lang w:val="en-US"/>
        </w:rPr>
      </w:pPr>
    </w:p>
    <w:p w14:paraId="36889C4B">
      <w:pPr>
        <w:pStyle w:val="19"/>
        <w:jc w:val="center"/>
        <w:rPr>
          <w:rFonts w:ascii="Times New Roman" w:hAnsi="Times New Roman" w:eastAsia="SimSun"/>
          <w:b/>
          <w:bCs/>
          <w:sz w:val="24"/>
          <w:szCs w:val="24"/>
          <w:lang w:val="en-US"/>
        </w:rPr>
      </w:pPr>
    </w:p>
    <w:p w14:paraId="0DE6816E">
      <w:pPr>
        <w:pStyle w:val="19"/>
        <w:jc w:val="center"/>
        <w:rPr>
          <w:rFonts w:ascii="Times New Roman" w:hAnsi="Times New Roman" w:eastAsia="SimSun"/>
          <w:b/>
          <w:bCs/>
          <w:sz w:val="24"/>
          <w:szCs w:val="24"/>
          <w:lang w:val="en-US"/>
        </w:rPr>
      </w:pPr>
      <w:r>
        <w:rPr>
          <w:rFonts w:ascii="Times New Roman" w:hAnsi="Times New Roman"/>
          <w:b/>
          <w:bCs/>
          <w:sz w:val="24"/>
          <w:szCs w:val="24"/>
        </w:rPr>
        <w:drawing>
          <wp:inline distT="0" distB="0" distL="114300" distR="114300">
            <wp:extent cx="3644900" cy="3644900"/>
            <wp:effectExtent l="0" t="0" r="0" b="0"/>
            <wp:docPr id="1" name="Picture 1" descr="IMG-20260628-WA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20260628-WA0002"/>
                    <pic:cNvPicPr>
                      <a:picLocks noChangeAspect="1"/>
                    </pic:cNvPicPr>
                  </pic:nvPicPr>
                  <pic:blipFill>
                    <a:blip r:embed="rId6"/>
                    <a:stretch>
                      <a:fillRect/>
                    </a:stretch>
                  </pic:blipFill>
                  <pic:spPr>
                    <a:xfrm>
                      <a:off x="0" y="0"/>
                      <a:ext cx="3644900" cy="3644900"/>
                    </a:xfrm>
                    <a:prstGeom prst="rect">
                      <a:avLst/>
                    </a:prstGeom>
                  </pic:spPr>
                </pic:pic>
              </a:graphicData>
            </a:graphic>
          </wp:inline>
        </w:drawing>
      </w:r>
    </w:p>
    <w:p w14:paraId="6F59C51F">
      <w:pPr>
        <w:pStyle w:val="19"/>
        <w:jc w:val="center"/>
        <w:rPr>
          <w:rFonts w:ascii="Times New Roman" w:hAnsi="Times New Roman" w:eastAsia="SimSun"/>
          <w:b/>
          <w:bCs/>
          <w:sz w:val="24"/>
          <w:szCs w:val="24"/>
          <w:lang w:val="en-US"/>
        </w:rPr>
      </w:pPr>
    </w:p>
    <w:p w14:paraId="39AB0BD3">
      <w:pPr>
        <w:pStyle w:val="19"/>
        <w:jc w:val="center"/>
        <w:rPr>
          <w:rFonts w:ascii="Times New Roman" w:hAnsi="Times New Roman"/>
          <w:b/>
          <w:bCs/>
          <w:sz w:val="24"/>
          <w:szCs w:val="24"/>
        </w:rPr>
      </w:pPr>
      <w:r>
        <w:rPr>
          <w:rFonts w:ascii="Times New Roman" w:hAnsi="Times New Roman"/>
          <w:b/>
          <w:bCs/>
          <w:sz w:val="24"/>
          <w:szCs w:val="24"/>
        </w:rPr>
        <w:t>PROFESSOR JULIUS IDIALU IKHAREHON</w:t>
      </w:r>
    </w:p>
    <w:p w14:paraId="71F1710B">
      <w:pPr>
        <w:pStyle w:val="19"/>
        <w:jc w:val="center"/>
        <w:rPr>
          <w:rFonts w:ascii="Times New Roman" w:hAnsi="Times New Roman"/>
          <w:sz w:val="24"/>
          <w:szCs w:val="24"/>
          <w:lang w:val="en-US"/>
        </w:rPr>
      </w:pPr>
      <w:r>
        <w:rPr>
          <w:rFonts w:ascii="Times New Roman" w:hAnsi="Times New Roman"/>
          <w:sz w:val="24"/>
          <w:szCs w:val="24"/>
        </w:rPr>
        <w:t xml:space="preserve">B.Sc. (Hons), MBA (Uniport), M.Phil. (Ife), Ph.D. (Ife), </w:t>
      </w:r>
      <w:r>
        <w:rPr>
          <w:rFonts w:ascii="Times New Roman" w:hAnsi="Times New Roman"/>
          <w:sz w:val="24"/>
          <w:szCs w:val="24"/>
          <w:lang w:val="en-US"/>
        </w:rPr>
        <w:t xml:space="preserve">FIMC, </w:t>
      </w:r>
      <w:r>
        <w:rPr>
          <w:rFonts w:ascii="Times New Roman" w:hAnsi="Times New Roman"/>
          <w:sz w:val="24"/>
          <w:szCs w:val="24"/>
        </w:rPr>
        <w:t>MAMN, FBSE</w:t>
      </w:r>
      <w:r>
        <w:rPr>
          <w:rFonts w:ascii="Times New Roman" w:hAnsi="Times New Roman"/>
          <w:sz w:val="24"/>
          <w:szCs w:val="24"/>
          <w:lang w:val="en-US"/>
        </w:rPr>
        <w:t>, MSM</w:t>
      </w:r>
    </w:p>
    <w:p w14:paraId="713E1D07">
      <w:pPr>
        <w:pStyle w:val="19"/>
        <w:jc w:val="center"/>
        <w:rPr>
          <w:rFonts w:ascii="Times New Roman" w:hAnsi="Times New Roman" w:eastAsia="SimSun"/>
          <w:b/>
          <w:bCs/>
          <w:sz w:val="24"/>
          <w:szCs w:val="24"/>
          <w:lang w:val="en-US"/>
        </w:rPr>
      </w:pPr>
      <w:r>
        <w:rPr>
          <w:rFonts w:ascii="Times New Roman" w:hAnsi="Times New Roman"/>
          <w:sz w:val="24"/>
          <w:szCs w:val="24"/>
        </w:rPr>
        <w:t>Professor of Strategic Management and Corporate Governance</w:t>
      </w:r>
      <w:r>
        <w:rPr>
          <w:rFonts w:ascii="Times New Roman" w:hAnsi="Times New Roman"/>
          <w:sz w:val="24"/>
          <w:szCs w:val="24"/>
        </w:rPr>
        <w:br w:type="textWrapping"/>
      </w:r>
    </w:p>
    <w:p w14:paraId="6A0EF69A">
      <w:pPr>
        <w:pStyle w:val="19"/>
        <w:jc w:val="center"/>
        <w:rPr>
          <w:rFonts w:ascii="Times New Roman" w:hAnsi="Times New Roman" w:eastAsia="SimSun"/>
          <w:b/>
          <w:bCs/>
          <w:sz w:val="24"/>
          <w:szCs w:val="24"/>
          <w:lang w:val="en-US"/>
        </w:rPr>
      </w:pPr>
    </w:p>
    <w:p w14:paraId="2A6F50EA">
      <w:pPr>
        <w:pStyle w:val="19"/>
        <w:jc w:val="center"/>
        <w:rPr>
          <w:rFonts w:ascii="Times New Roman" w:hAnsi="Times New Roman" w:eastAsia="SimSun"/>
          <w:b/>
          <w:bCs/>
          <w:sz w:val="24"/>
          <w:szCs w:val="24"/>
          <w:lang w:val="en-US"/>
        </w:rPr>
      </w:pPr>
    </w:p>
    <w:p w14:paraId="44744EC9">
      <w:pPr>
        <w:pStyle w:val="19"/>
        <w:jc w:val="center"/>
        <w:rPr>
          <w:rFonts w:ascii="Times New Roman" w:hAnsi="Times New Roman" w:eastAsia="SimSun"/>
          <w:b/>
          <w:bCs/>
          <w:sz w:val="24"/>
          <w:szCs w:val="24"/>
          <w:lang w:val="en-US"/>
        </w:rPr>
      </w:pPr>
    </w:p>
    <w:p w14:paraId="2844EDD2">
      <w:pPr>
        <w:pStyle w:val="19"/>
        <w:jc w:val="center"/>
        <w:rPr>
          <w:rFonts w:ascii="Times New Roman" w:hAnsi="Times New Roman" w:eastAsia="SimSun"/>
          <w:b/>
          <w:bCs/>
          <w:sz w:val="24"/>
          <w:szCs w:val="24"/>
          <w:lang w:val="en-US"/>
        </w:rPr>
      </w:pPr>
    </w:p>
    <w:p w14:paraId="614F2F97">
      <w:pPr>
        <w:pStyle w:val="19"/>
        <w:jc w:val="center"/>
        <w:rPr>
          <w:rFonts w:ascii="Times New Roman" w:hAnsi="Times New Roman" w:eastAsia="SimSun"/>
          <w:b/>
          <w:bCs/>
          <w:sz w:val="24"/>
          <w:szCs w:val="24"/>
          <w:lang w:val="en-US"/>
        </w:rPr>
      </w:pPr>
    </w:p>
    <w:p w14:paraId="2D3E86B6">
      <w:pPr>
        <w:pStyle w:val="19"/>
        <w:jc w:val="center"/>
        <w:rPr>
          <w:rFonts w:ascii="Times New Roman" w:hAnsi="Times New Roman" w:eastAsia="SimSun"/>
          <w:b/>
          <w:bCs/>
          <w:sz w:val="24"/>
          <w:szCs w:val="24"/>
          <w:lang w:val="en-US"/>
        </w:rPr>
      </w:pPr>
    </w:p>
    <w:p w14:paraId="1413DC52">
      <w:pPr>
        <w:pStyle w:val="19"/>
        <w:jc w:val="center"/>
        <w:rPr>
          <w:rFonts w:ascii="Times New Roman" w:hAnsi="Times New Roman" w:eastAsia="SimSun"/>
          <w:b/>
          <w:bCs/>
          <w:sz w:val="24"/>
          <w:szCs w:val="24"/>
          <w:lang w:val="en-US"/>
        </w:rPr>
      </w:pPr>
    </w:p>
    <w:p w14:paraId="3A691F9E">
      <w:pPr>
        <w:pStyle w:val="19"/>
        <w:jc w:val="center"/>
        <w:rPr>
          <w:rFonts w:ascii="Times New Roman" w:hAnsi="Times New Roman" w:eastAsia="SimSun"/>
          <w:b/>
          <w:bCs/>
          <w:sz w:val="24"/>
          <w:szCs w:val="24"/>
          <w:lang w:val="en-US"/>
        </w:rPr>
      </w:pPr>
    </w:p>
    <w:p w14:paraId="7A30B617">
      <w:pPr>
        <w:pStyle w:val="19"/>
        <w:jc w:val="center"/>
        <w:rPr>
          <w:rFonts w:ascii="Times New Roman" w:hAnsi="Times New Roman" w:eastAsia="SimSun"/>
          <w:b/>
          <w:bCs/>
          <w:sz w:val="24"/>
          <w:szCs w:val="24"/>
          <w:lang w:val="en-US"/>
        </w:rPr>
      </w:pPr>
    </w:p>
    <w:p w14:paraId="125C876C">
      <w:pPr>
        <w:pStyle w:val="19"/>
        <w:jc w:val="center"/>
        <w:rPr>
          <w:rFonts w:ascii="Times New Roman" w:hAnsi="Times New Roman" w:eastAsia="SimSun"/>
          <w:b/>
          <w:bCs/>
          <w:sz w:val="24"/>
          <w:szCs w:val="24"/>
          <w:lang w:val="en-US"/>
        </w:rPr>
      </w:pPr>
    </w:p>
    <w:p w14:paraId="33353D43">
      <w:pPr>
        <w:pStyle w:val="19"/>
        <w:jc w:val="center"/>
        <w:rPr>
          <w:rFonts w:ascii="Times New Roman" w:hAnsi="Times New Roman" w:eastAsia="SimSun"/>
          <w:b/>
          <w:bCs/>
          <w:sz w:val="24"/>
          <w:szCs w:val="24"/>
          <w:lang w:val="en-US"/>
        </w:rPr>
      </w:pPr>
    </w:p>
    <w:p w14:paraId="5CBC75C6">
      <w:pPr>
        <w:pStyle w:val="19"/>
        <w:jc w:val="center"/>
        <w:rPr>
          <w:rFonts w:ascii="Times New Roman" w:hAnsi="Times New Roman" w:eastAsia="SimSun"/>
          <w:b/>
          <w:bCs/>
          <w:sz w:val="24"/>
          <w:szCs w:val="24"/>
          <w:lang w:val="en-US"/>
        </w:rPr>
      </w:pPr>
    </w:p>
    <w:p w14:paraId="09C721CE">
      <w:pPr>
        <w:pStyle w:val="19"/>
        <w:jc w:val="center"/>
        <w:rPr>
          <w:rFonts w:ascii="Times New Roman" w:hAnsi="Times New Roman" w:eastAsia="SimSun"/>
          <w:b/>
          <w:bCs/>
          <w:sz w:val="24"/>
          <w:szCs w:val="24"/>
          <w:lang w:val="en-US"/>
        </w:rPr>
      </w:pPr>
    </w:p>
    <w:p w14:paraId="447F1D01">
      <w:pPr>
        <w:pStyle w:val="19"/>
        <w:jc w:val="center"/>
        <w:rPr>
          <w:rFonts w:ascii="Times New Roman" w:hAnsi="Times New Roman" w:eastAsia="SimSun"/>
          <w:b/>
          <w:bCs/>
          <w:sz w:val="24"/>
          <w:szCs w:val="24"/>
          <w:lang w:val="en-US"/>
        </w:rPr>
      </w:pPr>
    </w:p>
    <w:p w14:paraId="22C781C0">
      <w:pPr>
        <w:pStyle w:val="19"/>
        <w:jc w:val="center"/>
        <w:rPr>
          <w:rFonts w:ascii="Times New Roman" w:hAnsi="Times New Roman" w:eastAsia="SimSun"/>
          <w:b/>
          <w:bCs/>
          <w:sz w:val="24"/>
          <w:szCs w:val="24"/>
          <w:lang w:val="en-US"/>
        </w:rPr>
      </w:pPr>
    </w:p>
    <w:p w14:paraId="7C399B7E">
      <w:pPr>
        <w:pStyle w:val="19"/>
        <w:jc w:val="center"/>
        <w:rPr>
          <w:rFonts w:ascii="Times New Roman" w:hAnsi="Times New Roman" w:eastAsia="SimSun"/>
          <w:b/>
          <w:bCs/>
          <w:sz w:val="24"/>
          <w:szCs w:val="24"/>
          <w:lang w:val="en-US"/>
        </w:rPr>
      </w:pPr>
    </w:p>
    <w:p w14:paraId="67217534">
      <w:pPr>
        <w:pStyle w:val="19"/>
        <w:jc w:val="center"/>
        <w:rPr>
          <w:rFonts w:ascii="Times New Roman" w:hAnsi="Times New Roman" w:eastAsia="SimSun"/>
          <w:b/>
          <w:bCs/>
          <w:sz w:val="24"/>
          <w:szCs w:val="24"/>
          <w:lang w:val="en-US"/>
        </w:rPr>
      </w:pPr>
    </w:p>
    <w:p w14:paraId="7BD10FA4">
      <w:pPr>
        <w:pStyle w:val="19"/>
        <w:jc w:val="center"/>
        <w:rPr>
          <w:rFonts w:ascii="Times New Roman" w:hAnsi="Times New Roman" w:eastAsia="SimSun"/>
          <w:b/>
          <w:bCs/>
          <w:sz w:val="24"/>
          <w:szCs w:val="24"/>
          <w:lang w:val="en-US"/>
        </w:rPr>
      </w:pPr>
    </w:p>
    <w:p w14:paraId="2088186A">
      <w:pPr>
        <w:pStyle w:val="19"/>
        <w:jc w:val="center"/>
        <w:rPr>
          <w:rFonts w:ascii="Times New Roman" w:hAnsi="Times New Roman"/>
          <w:b/>
          <w:bCs/>
          <w:sz w:val="24"/>
          <w:szCs w:val="24"/>
          <w:lang w:val="en-US"/>
        </w:rPr>
      </w:pPr>
      <w:bookmarkStart w:id="0" w:name="_Hlk239952332"/>
      <w:r>
        <w:rPr>
          <w:rFonts w:ascii="Times New Roman" w:hAnsi="Times New Roman" w:eastAsia="SimSun"/>
          <w:b/>
          <w:bCs/>
          <w:sz w:val="24"/>
          <w:szCs w:val="24"/>
          <w:lang w:val="en-US"/>
        </w:rPr>
        <w:drawing>
          <wp:inline distT="0" distB="0" distL="114300" distR="114300">
            <wp:extent cx="868045" cy="929005"/>
            <wp:effectExtent l="0" t="0" r="8255" b="10795"/>
            <wp:docPr id="2" name="Picture 2" descr="IMG-20260622-WA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20260622-WA0014"/>
                    <pic:cNvPicPr>
                      <a:picLocks noChangeAspect="1"/>
                    </pic:cNvPicPr>
                  </pic:nvPicPr>
                  <pic:blipFill>
                    <a:blip r:embed="rId7"/>
                    <a:stretch>
                      <a:fillRect/>
                    </a:stretch>
                  </pic:blipFill>
                  <pic:spPr>
                    <a:xfrm>
                      <a:off x="0" y="0"/>
                      <a:ext cx="868045" cy="929005"/>
                    </a:xfrm>
                    <a:prstGeom prst="rect">
                      <a:avLst/>
                    </a:prstGeom>
                  </pic:spPr>
                </pic:pic>
              </a:graphicData>
            </a:graphic>
          </wp:inline>
        </w:drawing>
      </w:r>
      <w:r>
        <w:rPr>
          <w:rFonts w:ascii="Times New Roman" w:hAnsi="Times New Roman"/>
          <w:b/>
          <w:bCs/>
          <w:sz w:val="24"/>
          <w:szCs w:val="24"/>
          <w:lang w:val="en-US"/>
        </w:rPr>
        <w:t>AMBROSE ALLI UNIVERSITY</w:t>
      </w:r>
    </w:p>
    <w:p w14:paraId="201D6810">
      <w:pPr>
        <w:pStyle w:val="19"/>
        <w:jc w:val="center"/>
        <w:rPr>
          <w:rFonts w:ascii="Times New Roman" w:hAnsi="Times New Roman"/>
          <w:b/>
          <w:bCs/>
          <w:sz w:val="24"/>
          <w:szCs w:val="24"/>
          <w:lang w:val="en-US"/>
        </w:rPr>
      </w:pPr>
      <w:r>
        <w:rPr>
          <w:rFonts w:ascii="Times New Roman" w:hAnsi="Times New Roman"/>
          <w:b/>
          <w:bCs/>
          <w:sz w:val="24"/>
          <w:szCs w:val="24"/>
          <w:lang w:val="en-US"/>
        </w:rPr>
        <w:t>EKPOMA, NIGERIA</w:t>
      </w:r>
    </w:p>
    <w:p w14:paraId="232DE137">
      <w:pPr>
        <w:pStyle w:val="19"/>
        <w:jc w:val="center"/>
        <w:rPr>
          <w:rFonts w:ascii="Times New Roman" w:hAnsi="Times New Roman"/>
          <w:b/>
          <w:bCs/>
          <w:sz w:val="24"/>
          <w:szCs w:val="24"/>
          <w:lang w:val="en-US"/>
        </w:rPr>
      </w:pPr>
    </w:p>
    <w:p w14:paraId="3225C5AF">
      <w:pPr>
        <w:pStyle w:val="19"/>
        <w:jc w:val="center"/>
        <w:rPr>
          <w:rFonts w:ascii="Times New Roman" w:hAnsi="Times New Roman"/>
          <w:b/>
          <w:bCs/>
          <w:sz w:val="24"/>
          <w:szCs w:val="24"/>
          <w:lang w:val="en-US"/>
        </w:rPr>
      </w:pPr>
    </w:p>
    <w:p w14:paraId="6E1DA815">
      <w:pPr>
        <w:pStyle w:val="19"/>
        <w:jc w:val="center"/>
        <w:rPr>
          <w:rFonts w:ascii="Times New Roman" w:hAnsi="Times New Roman"/>
          <w:b/>
          <w:bCs/>
          <w:sz w:val="24"/>
          <w:szCs w:val="24"/>
          <w:lang w:val="en-US"/>
        </w:rPr>
      </w:pPr>
      <w:r>
        <w:rPr>
          <w:rFonts w:ascii="Times New Roman" w:hAnsi="Times New Roman"/>
          <w:b/>
          <w:bCs/>
          <w:sz w:val="24"/>
          <w:szCs w:val="24"/>
          <w:lang w:val="en-US"/>
        </w:rPr>
        <w:t>155</w:t>
      </w:r>
      <w:r>
        <w:rPr>
          <w:rFonts w:ascii="Times New Roman" w:hAnsi="Times New Roman"/>
          <w:b/>
          <w:bCs/>
          <w:sz w:val="24"/>
          <w:szCs w:val="24"/>
          <w:vertAlign w:val="superscript"/>
          <w:lang w:val="en-US"/>
        </w:rPr>
        <w:t>th</w:t>
      </w:r>
      <w:r>
        <w:rPr>
          <w:rFonts w:ascii="Times New Roman" w:hAnsi="Times New Roman"/>
          <w:b/>
          <w:bCs/>
          <w:sz w:val="24"/>
          <w:szCs w:val="24"/>
          <w:lang w:val="en-US"/>
        </w:rPr>
        <w:t xml:space="preserve"> IN THE INAUGURAL LECTURE SERIES</w:t>
      </w:r>
    </w:p>
    <w:p w14:paraId="02C621D9">
      <w:pPr>
        <w:pStyle w:val="19"/>
        <w:jc w:val="center"/>
        <w:rPr>
          <w:rFonts w:ascii="Times New Roman" w:hAnsi="Times New Roman"/>
          <w:b/>
          <w:bCs/>
          <w:sz w:val="24"/>
          <w:szCs w:val="24"/>
          <w:lang w:val="en-US"/>
        </w:rPr>
      </w:pPr>
    </w:p>
    <w:p w14:paraId="060D2AD2">
      <w:pPr>
        <w:pStyle w:val="19"/>
        <w:jc w:val="center"/>
        <w:rPr>
          <w:rFonts w:ascii="Times New Roman" w:hAnsi="Times New Roman"/>
          <w:b/>
          <w:bCs/>
          <w:sz w:val="24"/>
          <w:szCs w:val="24"/>
          <w:lang w:val="en-US"/>
        </w:rPr>
      </w:pPr>
      <w:r>
        <w:rPr>
          <w:rFonts w:ascii="Times New Roman" w:hAnsi="Times New Roman"/>
          <w:b/>
          <w:bCs/>
          <w:sz w:val="24"/>
          <w:szCs w:val="24"/>
          <w:lang w:val="en-US"/>
        </w:rPr>
        <w:t>TITLE OF LECTURE</w:t>
      </w:r>
    </w:p>
    <w:p w14:paraId="42307B7B">
      <w:pPr>
        <w:spacing w:before="100" w:beforeAutospacing="1" w:after="100" w:afterAutospacing="1" w:line="240" w:lineRule="auto"/>
        <w:jc w:val="center"/>
        <w:outlineLvl w:val="1"/>
        <w:rPr>
          <w:rFonts w:eastAsia="SimSun" w:cs="Times New Roman"/>
          <w:b/>
          <w:bCs/>
          <w:szCs w:val="24"/>
        </w:rPr>
      </w:pPr>
      <w:r>
        <w:rPr>
          <w:rFonts w:eastAsia="SimSun" w:cs="Times New Roman"/>
          <w:b/>
          <w:bCs/>
          <w:szCs w:val="24"/>
        </w:rPr>
        <w:t>FROM CORPORATE SOCIAL RESPONSIBILITY TO STRATEGIC NATIONAL TRANSFORMATION: REPOSITIONING STRATEGIC MANAGEMENT AND CORPORATE GOVERNANCE FOR NIGERIA'S SUSTAINABLE DEVELOPMENT</w:t>
      </w:r>
    </w:p>
    <w:p w14:paraId="58FDE933">
      <w:pPr>
        <w:spacing w:before="100" w:beforeAutospacing="1" w:after="100" w:afterAutospacing="1" w:line="240" w:lineRule="auto"/>
        <w:jc w:val="center"/>
        <w:outlineLvl w:val="1"/>
        <w:rPr>
          <w:rFonts w:eastAsia="SimSun" w:cs="Times New Roman"/>
          <w:b/>
          <w:bCs/>
          <w:szCs w:val="24"/>
        </w:rPr>
      </w:pPr>
      <w:r>
        <w:rPr>
          <w:rFonts w:eastAsia="SimSun" w:cs="Times New Roman"/>
          <w:b/>
          <w:bCs/>
          <w:szCs w:val="24"/>
        </w:rPr>
        <w:t xml:space="preserve">DELIVERED BY </w:t>
      </w:r>
    </w:p>
    <w:p w14:paraId="1465C58C">
      <w:pPr>
        <w:spacing w:before="100" w:beforeAutospacing="1" w:after="100" w:afterAutospacing="1" w:line="240" w:lineRule="auto"/>
        <w:jc w:val="center"/>
        <w:outlineLvl w:val="1"/>
        <w:rPr>
          <w:rFonts w:eastAsia="SimSun" w:cs="Times New Roman"/>
          <w:b/>
          <w:bCs/>
          <w:szCs w:val="24"/>
        </w:rPr>
      </w:pPr>
    </w:p>
    <w:p w14:paraId="1FE83E0B">
      <w:pPr>
        <w:spacing w:before="100" w:beforeAutospacing="1" w:after="100" w:afterAutospacing="1" w:line="240" w:lineRule="auto"/>
        <w:jc w:val="center"/>
        <w:outlineLvl w:val="1"/>
        <w:rPr>
          <w:rFonts w:eastAsia="SimSun" w:cs="Times New Roman"/>
          <w:b/>
          <w:bCs/>
          <w:szCs w:val="24"/>
        </w:rPr>
      </w:pPr>
    </w:p>
    <w:p w14:paraId="2BA0F0C8">
      <w:pPr>
        <w:pStyle w:val="19"/>
        <w:jc w:val="center"/>
        <w:rPr>
          <w:rFonts w:ascii="Times New Roman" w:hAnsi="Times New Roman"/>
          <w:b/>
          <w:bCs/>
          <w:sz w:val="24"/>
          <w:szCs w:val="24"/>
        </w:rPr>
      </w:pPr>
      <w:r>
        <w:rPr>
          <w:rFonts w:ascii="Times New Roman" w:hAnsi="Times New Roman"/>
          <w:b/>
          <w:bCs/>
          <w:sz w:val="24"/>
          <w:szCs w:val="24"/>
        </w:rPr>
        <w:t>PROFESSOR JULIUS IDIALU IKHAREHON</w:t>
      </w:r>
    </w:p>
    <w:p w14:paraId="5841F8C1">
      <w:pPr>
        <w:pStyle w:val="19"/>
        <w:jc w:val="center"/>
        <w:rPr>
          <w:rFonts w:ascii="Times New Roman" w:hAnsi="Times New Roman"/>
          <w:sz w:val="24"/>
          <w:szCs w:val="24"/>
          <w:lang w:val="en-US"/>
        </w:rPr>
      </w:pPr>
      <w:r>
        <w:rPr>
          <w:rFonts w:ascii="Times New Roman" w:hAnsi="Times New Roman"/>
          <w:sz w:val="24"/>
          <w:szCs w:val="24"/>
        </w:rPr>
        <w:t xml:space="preserve">B.Sc. (Hons), MBA (Uniport), M.Phil. (Ife), Ph.D. (Ife), </w:t>
      </w:r>
      <w:r>
        <w:rPr>
          <w:rFonts w:ascii="Times New Roman" w:hAnsi="Times New Roman"/>
          <w:sz w:val="24"/>
          <w:szCs w:val="24"/>
          <w:lang w:val="en-US"/>
        </w:rPr>
        <w:t xml:space="preserve">FIMC, </w:t>
      </w:r>
      <w:r>
        <w:rPr>
          <w:rFonts w:ascii="Times New Roman" w:hAnsi="Times New Roman"/>
          <w:sz w:val="24"/>
          <w:szCs w:val="24"/>
        </w:rPr>
        <w:t>MAMN, FBSE</w:t>
      </w:r>
      <w:r>
        <w:rPr>
          <w:rFonts w:ascii="Times New Roman" w:hAnsi="Times New Roman"/>
          <w:sz w:val="24"/>
          <w:szCs w:val="24"/>
          <w:lang w:val="en-US"/>
        </w:rPr>
        <w:t>, MSM</w:t>
      </w:r>
    </w:p>
    <w:p w14:paraId="75F0E49E">
      <w:pPr>
        <w:jc w:val="center"/>
        <w:rPr>
          <w:rFonts w:cs="Times New Roman"/>
          <w:szCs w:val="24"/>
        </w:rPr>
      </w:pPr>
      <w:r>
        <w:rPr>
          <w:rFonts w:cs="Times New Roman"/>
          <w:szCs w:val="24"/>
        </w:rPr>
        <w:t>Professor of Strategic Management and Corporate Governance</w:t>
      </w:r>
      <w:r>
        <w:rPr>
          <w:rFonts w:cs="Times New Roman"/>
          <w:szCs w:val="24"/>
        </w:rPr>
        <w:br w:type="textWrapping"/>
      </w:r>
      <w:r>
        <w:rPr>
          <w:rFonts w:cs="Times New Roman"/>
          <w:szCs w:val="24"/>
        </w:rPr>
        <w:t>Department of Business Administration, Faculty of Management Sciences</w:t>
      </w:r>
      <w:r>
        <w:rPr>
          <w:rFonts w:cs="Times New Roman"/>
          <w:szCs w:val="24"/>
        </w:rPr>
        <w:br w:type="textWrapping"/>
      </w:r>
      <w:r>
        <w:rPr>
          <w:rFonts w:cs="Times New Roman"/>
          <w:szCs w:val="24"/>
        </w:rPr>
        <w:t>Ambrose Alli University, Ekpoma, Edo State, Nigeria</w:t>
      </w:r>
    </w:p>
    <w:p w14:paraId="7756C5CB">
      <w:pPr>
        <w:pStyle w:val="19"/>
        <w:jc w:val="center"/>
        <w:rPr>
          <w:rFonts w:ascii="Times New Roman" w:hAnsi="Times New Roman"/>
          <w:b/>
          <w:bCs/>
          <w:sz w:val="24"/>
          <w:szCs w:val="24"/>
          <w:lang w:val="en-US"/>
        </w:rPr>
      </w:pPr>
      <w:r>
        <w:rPr>
          <w:rFonts w:ascii="Times New Roman" w:hAnsi="Times New Roman"/>
          <w:b/>
          <w:bCs/>
          <w:sz w:val="24"/>
          <w:szCs w:val="24"/>
          <w:lang w:val="en-US"/>
        </w:rPr>
        <w:t>THURSDAY 8</w:t>
      </w:r>
      <w:r>
        <w:rPr>
          <w:rFonts w:ascii="Times New Roman" w:hAnsi="Times New Roman"/>
          <w:b/>
          <w:bCs/>
          <w:sz w:val="24"/>
          <w:szCs w:val="24"/>
          <w:vertAlign w:val="superscript"/>
          <w:lang w:val="en-US"/>
        </w:rPr>
        <w:t>TH</w:t>
      </w:r>
      <w:r>
        <w:rPr>
          <w:rFonts w:ascii="Times New Roman" w:hAnsi="Times New Roman"/>
          <w:b/>
          <w:bCs/>
          <w:sz w:val="24"/>
          <w:szCs w:val="24"/>
          <w:lang w:val="en-US"/>
        </w:rPr>
        <w:t xml:space="preserve"> OCTOBER 2026</w:t>
      </w:r>
    </w:p>
    <w:p w14:paraId="56EEF348">
      <w:pPr>
        <w:pStyle w:val="19"/>
        <w:jc w:val="center"/>
        <w:rPr>
          <w:rFonts w:ascii="Times New Roman" w:hAnsi="Times New Roman"/>
          <w:b/>
          <w:bCs/>
          <w:sz w:val="24"/>
          <w:szCs w:val="24"/>
          <w:lang w:val="en-US"/>
        </w:rPr>
      </w:pPr>
    </w:p>
    <w:p w14:paraId="27F7F8C9">
      <w:pPr>
        <w:pStyle w:val="19"/>
        <w:jc w:val="center"/>
        <w:rPr>
          <w:rFonts w:ascii="Times New Roman" w:hAnsi="Times New Roman"/>
          <w:b/>
          <w:bCs/>
          <w:sz w:val="24"/>
          <w:szCs w:val="24"/>
          <w:lang w:val="en-US"/>
        </w:rPr>
      </w:pPr>
    </w:p>
    <w:bookmarkEnd w:id="0"/>
    <w:p w14:paraId="6F0FF283">
      <w:pPr>
        <w:pStyle w:val="19"/>
        <w:jc w:val="center"/>
        <w:rPr>
          <w:rFonts w:ascii="Times New Roman" w:hAnsi="Times New Roman"/>
          <w:b/>
          <w:bCs/>
          <w:sz w:val="24"/>
          <w:szCs w:val="24"/>
          <w:lang w:val="en-US"/>
        </w:rPr>
      </w:pPr>
    </w:p>
    <w:p w14:paraId="7597C6D3">
      <w:pPr>
        <w:pStyle w:val="19"/>
        <w:jc w:val="center"/>
        <w:rPr>
          <w:rFonts w:ascii="Times New Roman" w:hAnsi="Times New Roman"/>
          <w:b/>
          <w:bCs/>
          <w:sz w:val="24"/>
          <w:szCs w:val="24"/>
          <w:lang w:val="en-US"/>
        </w:rPr>
      </w:pPr>
    </w:p>
    <w:p w14:paraId="31A8E7EA">
      <w:pPr>
        <w:pStyle w:val="19"/>
        <w:jc w:val="center"/>
        <w:rPr>
          <w:rFonts w:ascii="Times New Roman" w:hAnsi="Times New Roman"/>
          <w:b/>
          <w:bCs/>
          <w:sz w:val="24"/>
          <w:szCs w:val="24"/>
          <w:lang w:val="en-US"/>
        </w:rPr>
      </w:pPr>
    </w:p>
    <w:p w14:paraId="20E71E1A">
      <w:pPr>
        <w:pStyle w:val="19"/>
        <w:jc w:val="center"/>
        <w:rPr>
          <w:rFonts w:ascii="Times New Roman" w:hAnsi="Times New Roman"/>
          <w:b/>
          <w:bCs/>
          <w:sz w:val="24"/>
          <w:szCs w:val="24"/>
          <w:lang w:val="en-US"/>
        </w:rPr>
      </w:pPr>
    </w:p>
    <w:p w14:paraId="4212F67F">
      <w:pPr>
        <w:pStyle w:val="19"/>
        <w:jc w:val="center"/>
        <w:rPr>
          <w:rFonts w:ascii="Times New Roman" w:hAnsi="Times New Roman"/>
          <w:b/>
          <w:bCs/>
          <w:sz w:val="24"/>
          <w:szCs w:val="24"/>
          <w:lang w:val="en-US"/>
        </w:rPr>
      </w:pPr>
    </w:p>
    <w:p w14:paraId="1D7CF6AC">
      <w:pPr>
        <w:pStyle w:val="19"/>
        <w:jc w:val="center"/>
        <w:rPr>
          <w:rFonts w:ascii="Times New Roman" w:hAnsi="Times New Roman"/>
          <w:b/>
          <w:bCs/>
          <w:sz w:val="24"/>
          <w:szCs w:val="24"/>
          <w:lang w:val="en-US"/>
        </w:rPr>
      </w:pPr>
    </w:p>
    <w:p w14:paraId="24DC1C00">
      <w:pPr>
        <w:pStyle w:val="19"/>
        <w:jc w:val="center"/>
        <w:rPr>
          <w:rFonts w:ascii="Times New Roman" w:hAnsi="Times New Roman"/>
          <w:b/>
          <w:bCs/>
          <w:sz w:val="24"/>
          <w:szCs w:val="24"/>
          <w:lang w:val="en-US"/>
        </w:rPr>
      </w:pPr>
    </w:p>
    <w:p w14:paraId="2B162B97">
      <w:pPr>
        <w:pStyle w:val="19"/>
        <w:jc w:val="center"/>
        <w:rPr>
          <w:rFonts w:ascii="Times New Roman" w:hAnsi="Times New Roman"/>
          <w:b/>
          <w:bCs/>
          <w:sz w:val="24"/>
          <w:szCs w:val="24"/>
          <w:lang w:val="en-US"/>
        </w:rPr>
      </w:pPr>
    </w:p>
    <w:p w14:paraId="02089672">
      <w:pPr>
        <w:pStyle w:val="19"/>
        <w:jc w:val="center"/>
        <w:rPr>
          <w:rFonts w:ascii="Times New Roman" w:hAnsi="Times New Roman"/>
          <w:b/>
          <w:bCs/>
          <w:sz w:val="24"/>
          <w:szCs w:val="24"/>
          <w:lang w:val="en-US"/>
        </w:rPr>
      </w:pPr>
    </w:p>
    <w:p w14:paraId="37AE4737">
      <w:pPr>
        <w:pStyle w:val="19"/>
        <w:jc w:val="center"/>
        <w:rPr>
          <w:rFonts w:ascii="Times New Roman" w:hAnsi="Times New Roman"/>
          <w:b/>
          <w:bCs/>
          <w:sz w:val="24"/>
          <w:szCs w:val="24"/>
          <w:lang w:val="en-US"/>
        </w:rPr>
      </w:pPr>
    </w:p>
    <w:p w14:paraId="6B41A955">
      <w:pPr>
        <w:pStyle w:val="19"/>
        <w:jc w:val="center"/>
        <w:rPr>
          <w:rFonts w:ascii="Times New Roman" w:hAnsi="Times New Roman"/>
          <w:b/>
          <w:bCs/>
          <w:sz w:val="24"/>
          <w:szCs w:val="24"/>
          <w:lang w:val="en-US"/>
        </w:rPr>
      </w:pPr>
    </w:p>
    <w:p w14:paraId="0CFB2F1B">
      <w:pPr>
        <w:pStyle w:val="19"/>
        <w:jc w:val="center"/>
        <w:rPr>
          <w:rFonts w:ascii="Times New Roman" w:hAnsi="Times New Roman"/>
          <w:b/>
          <w:bCs/>
          <w:sz w:val="24"/>
          <w:szCs w:val="24"/>
          <w:lang w:val="en-US"/>
        </w:rPr>
      </w:pPr>
    </w:p>
    <w:p w14:paraId="2160A176">
      <w:pPr>
        <w:pStyle w:val="19"/>
        <w:jc w:val="center"/>
        <w:rPr>
          <w:rFonts w:ascii="Times New Roman" w:hAnsi="Times New Roman"/>
          <w:b/>
          <w:bCs/>
          <w:sz w:val="24"/>
          <w:szCs w:val="24"/>
          <w:lang w:val="en-US"/>
        </w:rPr>
      </w:pPr>
    </w:p>
    <w:p w14:paraId="22D55FDC">
      <w:pPr>
        <w:pStyle w:val="19"/>
        <w:jc w:val="center"/>
        <w:rPr>
          <w:rFonts w:ascii="Times New Roman" w:hAnsi="Times New Roman"/>
          <w:b/>
          <w:bCs/>
          <w:sz w:val="24"/>
          <w:szCs w:val="24"/>
          <w:lang w:val="en-US"/>
        </w:rPr>
      </w:pPr>
    </w:p>
    <w:p w14:paraId="03D3EFD3">
      <w:pPr>
        <w:pStyle w:val="19"/>
        <w:jc w:val="center"/>
        <w:rPr>
          <w:rFonts w:ascii="Times New Roman" w:hAnsi="Times New Roman"/>
          <w:b/>
          <w:bCs/>
          <w:sz w:val="24"/>
          <w:szCs w:val="24"/>
          <w:lang w:val="en-US"/>
        </w:rPr>
      </w:pPr>
    </w:p>
    <w:p w14:paraId="51D76DF8">
      <w:pPr>
        <w:pStyle w:val="19"/>
        <w:jc w:val="center"/>
        <w:rPr>
          <w:rFonts w:ascii="Times New Roman" w:hAnsi="Times New Roman"/>
          <w:b/>
          <w:bCs/>
          <w:sz w:val="24"/>
          <w:szCs w:val="24"/>
          <w:lang w:val="en-US"/>
        </w:rPr>
      </w:pPr>
    </w:p>
    <w:p w14:paraId="1F9F624B">
      <w:pPr>
        <w:pStyle w:val="19"/>
        <w:jc w:val="center"/>
        <w:rPr>
          <w:rFonts w:ascii="Times New Roman" w:hAnsi="Times New Roman"/>
          <w:b/>
          <w:bCs/>
          <w:sz w:val="24"/>
          <w:szCs w:val="24"/>
          <w:lang w:val="en-US"/>
        </w:rPr>
      </w:pPr>
    </w:p>
    <w:p w14:paraId="7D4230F7">
      <w:pPr>
        <w:pStyle w:val="19"/>
        <w:jc w:val="center"/>
        <w:rPr>
          <w:rFonts w:ascii="Times New Roman" w:hAnsi="Times New Roman"/>
          <w:b/>
          <w:bCs/>
          <w:sz w:val="24"/>
          <w:szCs w:val="24"/>
          <w:lang w:val="en-US"/>
        </w:rPr>
      </w:pPr>
    </w:p>
    <w:p w14:paraId="6C6DC5A7">
      <w:pPr>
        <w:pStyle w:val="19"/>
        <w:spacing w:line="360" w:lineRule="auto"/>
        <w:rPr>
          <w:rFonts w:ascii="Times New Roman" w:hAnsi="Times New Roman"/>
          <w:b/>
          <w:bCs/>
          <w:sz w:val="24"/>
          <w:szCs w:val="24"/>
        </w:rPr>
      </w:pPr>
      <w:r>
        <w:rPr>
          <w:rFonts w:ascii="Times New Roman" w:hAnsi="Times New Roman"/>
          <w:b/>
          <w:bCs/>
          <w:sz w:val="24"/>
          <w:szCs w:val="24"/>
        </w:rPr>
        <w:t>PROTOCOL</w:t>
      </w:r>
    </w:p>
    <w:p w14:paraId="3FBA694A">
      <w:pPr>
        <w:pStyle w:val="19"/>
        <w:spacing w:line="360" w:lineRule="auto"/>
        <w:rPr>
          <w:rFonts w:ascii="Times New Roman" w:hAnsi="Times New Roman"/>
          <w:sz w:val="24"/>
          <w:szCs w:val="24"/>
        </w:rPr>
      </w:pPr>
      <w:r>
        <w:rPr>
          <w:rFonts w:ascii="Times New Roman" w:hAnsi="Times New Roman"/>
          <w:sz w:val="24"/>
          <w:szCs w:val="24"/>
        </w:rPr>
        <w:t>The Vice Chancellor</w:t>
      </w:r>
    </w:p>
    <w:p w14:paraId="4B64DAD3">
      <w:pPr>
        <w:pStyle w:val="19"/>
        <w:spacing w:line="360" w:lineRule="auto"/>
        <w:rPr>
          <w:rFonts w:ascii="Times New Roman" w:hAnsi="Times New Roman"/>
          <w:sz w:val="24"/>
          <w:szCs w:val="24"/>
        </w:rPr>
      </w:pPr>
      <w:r>
        <w:rPr>
          <w:rFonts w:ascii="Times New Roman" w:hAnsi="Times New Roman"/>
          <w:sz w:val="24"/>
          <w:szCs w:val="24"/>
        </w:rPr>
        <w:t>The Deputy Vice-Chancellor (Administration)</w:t>
      </w:r>
    </w:p>
    <w:p w14:paraId="28139791">
      <w:pPr>
        <w:pStyle w:val="19"/>
        <w:spacing w:line="360" w:lineRule="auto"/>
        <w:rPr>
          <w:rFonts w:ascii="Times New Roman" w:hAnsi="Times New Roman"/>
          <w:sz w:val="24"/>
          <w:szCs w:val="24"/>
        </w:rPr>
      </w:pPr>
      <w:r>
        <w:rPr>
          <w:rFonts w:ascii="Times New Roman" w:hAnsi="Times New Roman"/>
          <w:sz w:val="24"/>
          <w:szCs w:val="24"/>
        </w:rPr>
        <w:t>The Deputy Vice Chancellor (Academic)</w:t>
      </w:r>
    </w:p>
    <w:p w14:paraId="772BAE89">
      <w:pPr>
        <w:pStyle w:val="19"/>
        <w:spacing w:line="360" w:lineRule="auto"/>
        <w:rPr>
          <w:rFonts w:ascii="Times New Roman" w:hAnsi="Times New Roman"/>
          <w:sz w:val="24"/>
          <w:szCs w:val="24"/>
        </w:rPr>
      </w:pPr>
      <w:r>
        <w:rPr>
          <w:rFonts w:ascii="Times New Roman" w:hAnsi="Times New Roman"/>
          <w:sz w:val="24"/>
          <w:szCs w:val="24"/>
        </w:rPr>
        <w:t>The Provost, Medical College</w:t>
      </w:r>
    </w:p>
    <w:p w14:paraId="61D3AE76">
      <w:pPr>
        <w:pStyle w:val="19"/>
        <w:spacing w:line="360" w:lineRule="auto"/>
        <w:rPr>
          <w:rFonts w:ascii="Times New Roman" w:hAnsi="Times New Roman"/>
          <w:sz w:val="24"/>
          <w:szCs w:val="24"/>
        </w:rPr>
      </w:pPr>
      <w:r>
        <w:rPr>
          <w:rFonts w:ascii="Times New Roman" w:hAnsi="Times New Roman"/>
          <w:sz w:val="24"/>
          <w:szCs w:val="24"/>
        </w:rPr>
        <w:t>The Registrar</w:t>
      </w:r>
    </w:p>
    <w:p w14:paraId="10D8C5E7">
      <w:pPr>
        <w:pStyle w:val="19"/>
        <w:spacing w:line="360" w:lineRule="auto"/>
        <w:rPr>
          <w:rFonts w:ascii="Times New Roman" w:hAnsi="Times New Roman"/>
          <w:sz w:val="24"/>
          <w:szCs w:val="24"/>
        </w:rPr>
      </w:pPr>
      <w:r>
        <w:rPr>
          <w:rFonts w:ascii="Times New Roman" w:hAnsi="Times New Roman"/>
          <w:sz w:val="24"/>
          <w:szCs w:val="24"/>
        </w:rPr>
        <w:t>The University Bursar</w:t>
      </w:r>
    </w:p>
    <w:p w14:paraId="41409F7E">
      <w:pPr>
        <w:pStyle w:val="19"/>
        <w:spacing w:line="360" w:lineRule="auto"/>
        <w:rPr>
          <w:rFonts w:ascii="Times New Roman" w:hAnsi="Times New Roman"/>
          <w:sz w:val="24"/>
          <w:szCs w:val="24"/>
        </w:rPr>
      </w:pPr>
      <w:r>
        <w:rPr>
          <w:rFonts w:ascii="Times New Roman" w:hAnsi="Times New Roman"/>
          <w:sz w:val="24"/>
          <w:szCs w:val="24"/>
        </w:rPr>
        <w:t>The University Librarian</w:t>
      </w:r>
      <w:r>
        <w:rPr>
          <w:rFonts w:ascii="Times New Roman" w:hAnsi="Times New Roman"/>
          <w:sz w:val="24"/>
          <w:szCs w:val="24"/>
        </w:rPr>
        <w:br w:type="textWrapping"/>
      </w:r>
      <w:r>
        <w:rPr>
          <w:rFonts w:ascii="Times New Roman" w:hAnsi="Times New Roman"/>
          <w:sz w:val="24"/>
          <w:szCs w:val="24"/>
        </w:rPr>
        <w:t>The Dean of Postgraduate School</w:t>
      </w:r>
    </w:p>
    <w:p w14:paraId="67337099">
      <w:pPr>
        <w:pStyle w:val="19"/>
        <w:spacing w:line="360" w:lineRule="auto"/>
        <w:rPr>
          <w:rFonts w:ascii="Times New Roman" w:hAnsi="Times New Roman"/>
          <w:sz w:val="24"/>
          <w:szCs w:val="24"/>
        </w:rPr>
      </w:pPr>
      <w:r>
        <w:rPr>
          <w:rFonts w:ascii="Times New Roman" w:hAnsi="Times New Roman"/>
          <w:sz w:val="24"/>
          <w:szCs w:val="24"/>
        </w:rPr>
        <w:t>Deans of Faculty</w:t>
      </w:r>
    </w:p>
    <w:p w14:paraId="3B7396E4">
      <w:pPr>
        <w:pStyle w:val="19"/>
        <w:spacing w:line="360" w:lineRule="auto"/>
        <w:rPr>
          <w:rFonts w:ascii="Times New Roman" w:hAnsi="Times New Roman"/>
          <w:sz w:val="24"/>
          <w:szCs w:val="24"/>
        </w:rPr>
      </w:pPr>
      <w:r>
        <w:rPr>
          <w:rFonts w:ascii="Times New Roman" w:hAnsi="Times New Roman"/>
          <w:sz w:val="24"/>
          <w:szCs w:val="24"/>
        </w:rPr>
        <w:t>Directors</w:t>
      </w:r>
    </w:p>
    <w:p w14:paraId="122298B2">
      <w:pPr>
        <w:pStyle w:val="19"/>
        <w:spacing w:line="360" w:lineRule="auto"/>
        <w:rPr>
          <w:rFonts w:ascii="Times New Roman" w:hAnsi="Times New Roman"/>
          <w:sz w:val="24"/>
          <w:szCs w:val="24"/>
        </w:rPr>
      </w:pPr>
      <w:r>
        <w:rPr>
          <w:rFonts w:ascii="Times New Roman" w:hAnsi="Times New Roman"/>
          <w:sz w:val="24"/>
          <w:szCs w:val="24"/>
        </w:rPr>
        <w:t>Professors and Members of Senate</w:t>
      </w:r>
      <w:r>
        <w:rPr>
          <w:rFonts w:ascii="Times New Roman" w:hAnsi="Times New Roman"/>
          <w:sz w:val="24"/>
          <w:szCs w:val="24"/>
        </w:rPr>
        <w:br w:type="textWrapping"/>
      </w:r>
      <w:r>
        <w:rPr>
          <w:rFonts w:ascii="Times New Roman" w:hAnsi="Times New Roman"/>
          <w:sz w:val="24"/>
          <w:szCs w:val="24"/>
        </w:rPr>
        <w:t>Members of the Governing Council</w:t>
      </w:r>
      <w:r>
        <w:rPr>
          <w:rFonts w:ascii="Times New Roman" w:hAnsi="Times New Roman"/>
          <w:sz w:val="24"/>
          <w:szCs w:val="24"/>
        </w:rPr>
        <w:br w:type="textWrapping"/>
      </w:r>
      <w:r>
        <w:rPr>
          <w:rFonts w:ascii="Times New Roman" w:hAnsi="Times New Roman"/>
          <w:sz w:val="24"/>
          <w:szCs w:val="24"/>
        </w:rPr>
        <w:t>Heads of Departments</w:t>
      </w:r>
      <w:r>
        <w:rPr>
          <w:rFonts w:ascii="Times New Roman" w:hAnsi="Times New Roman"/>
          <w:sz w:val="24"/>
          <w:szCs w:val="24"/>
        </w:rPr>
        <w:br w:type="textWrapping"/>
      </w:r>
      <w:r>
        <w:rPr>
          <w:rFonts w:ascii="Times New Roman" w:hAnsi="Times New Roman"/>
          <w:sz w:val="24"/>
          <w:szCs w:val="24"/>
        </w:rPr>
        <w:t>Members of the University Community</w:t>
      </w:r>
      <w:r>
        <w:rPr>
          <w:rFonts w:ascii="Times New Roman" w:hAnsi="Times New Roman"/>
          <w:sz w:val="24"/>
          <w:szCs w:val="24"/>
        </w:rPr>
        <w:br w:type="textWrapping"/>
      </w:r>
      <w:r>
        <w:rPr>
          <w:rFonts w:ascii="Times New Roman" w:hAnsi="Times New Roman"/>
          <w:sz w:val="24"/>
          <w:szCs w:val="24"/>
        </w:rPr>
        <w:t>Invited Guests</w:t>
      </w:r>
    </w:p>
    <w:p w14:paraId="5448B2AA">
      <w:pPr>
        <w:pStyle w:val="19"/>
        <w:spacing w:line="360" w:lineRule="auto"/>
        <w:rPr>
          <w:rFonts w:ascii="Times New Roman" w:hAnsi="Times New Roman"/>
          <w:sz w:val="24"/>
          <w:szCs w:val="24"/>
        </w:rPr>
      </w:pPr>
      <w:r>
        <w:rPr>
          <w:rFonts w:ascii="Times New Roman" w:hAnsi="Times New Roman"/>
          <w:sz w:val="24"/>
          <w:szCs w:val="24"/>
        </w:rPr>
        <w:t>Great Nigerian Students</w:t>
      </w:r>
    </w:p>
    <w:p w14:paraId="03FB00F9">
      <w:pPr>
        <w:pStyle w:val="19"/>
        <w:spacing w:line="360" w:lineRule="auto"/>
        <w:rPr>
          <w:rFonts w:ascii="Times New Roman" w:hAnsi="Times New Roman"/>
          <w:sz w:val="24"/>
          <w:szCs w:val="24"/>
        </w:rPr>
      </w:pPr>
      <w:r>
        <w:rPr>
          <w:rFonts w:ascii="Times New Roman" w:hAnsi="Times New Roman"/>
          <w:sz w:val="24"/>
          <w:szCs w:val="24"/>
        </w:rPr>
        <w:t>Ladies and Gentlemen.</w:t>
      </w:r>
    </w:p>
    <w:p w14:paraId="7BFB0002">
      <w:pPr>
        <w:pStyle w:val="3"/>
        <w:jc w:val="both"/>
        <w:rPr>
          <w:sz w:val="24"/>
          <w:szCs w:val="24"/>
        </w:rPr>
      </w:pPr>
    </w:p>
    <w:p w14:paraId="673C473B">
      <w:pPr>
        <w:pStyle w:val="3"/>
        <w:jc w:val="both"/>
        <w:rPr>
          <w:sz w:val="24"/>
          <w:szCs w:val="24"/>
        </w:rPr>
      </w:pPr>
    </w:p>
    <w:p w14:paraId="37A619EC">
      <w:pPr>
        <w:pStyle w:val="3"/>
        <w:jc w:val="both"/>
        <w:rPr>
          <w:sz w:val="24"/>
          <w:szCs w:val="24"/>
        </w:rPr>
      </w:pPr>
    </w:p>
    <w:p w14:paraId="7A3D46BA">
      <w:pPr>
        <w:pStyle w:val="3"/>
        <w:jc w:val="both"/>
        <w:rPr>
          <w:sz w:val="24"/>
          <w:szCs w:val="24"/>
        </w:rPr>
      </w:pPr>
    </w:p>
    <w:p w14:paraId="598FE4E2">
      <w:pPr>
        <w:pStyle w:val="3"/>
        <w:jc w:val="center"/>
        <w:rPr>
          <w:sz w:val="24"/>
          <w:szCs w:val="24"/>
        </w:rPr>
      </w:pPr>
    </w:p>
    <w:p w14:paraId="12F4F5FC">
      <w:pPr>
        <w:pStyle w:val="3"/>
        <w:jc w:val="center"/>
        <w:rPr>
          <w:sz w:val="24"/>
          <w:szCs w:val="24"/>
        </w:rPr>
      </w:pPr>
    </w:p>
    <w:p w14:paraId="02C08183">
      <w:pPr>
        <w:pStyle w:val="3"/>
        <w:jc w:val="center"/>
        <w:rPr>
          <w:sz w:val="24"/>
          <w:szCs w:val="24"/>
        </w:rPr>
      </w:pPr>
    </w:p>
    <w:p w14:paraId="4B13593C">
      <w:pPr>
        <w:pStyle w:val="3"/>
        <w:jc w:val="center"/>
        <w:rPr>
          <w:sz w:val="24"/>
          <w:szCs w:val="24"/>
        </w:rPr>
      </w:pPr>
    </w:p>
    <w:p w14:paraId="12DC39B5">
      <w:pPr>
        <w:pStyle w:val="3"/>
        <w:jc w:val="both"/>
        <w:rPr>
          <w:rFonts w:ascii="Times New Roman" w:hAnsi="Times New Roman" w:cs="Times New Roman"/>
          <w:b/>
          <w:bCs/>
          <w:color w:val="auto"/>
          <w:sz w:val="24"/>
          <w:szCs w:val="24"/>
        </w:rPr>
      </w:pPr>
    </w:p>
    <w:p w14:paraId="4EC026E3">
      <w:pPr>
        <w:pStyle w:val="3"/>
        <w:jc w:val="both"/>
        <w:rPr>
          <w:rFonts w:ascii="Times New Roman" w:hAnsi="Times New Roman" w:cs="Times New Roman"/>
          <w:b/>
          <w:bCs/>
          <w:color w:val="auto"/>
          <w:sz w:val="24"/>
          <w:szCs w:val="24"/>
        </w:rPr>
      </w:pPr>
    </w:p>
    <w:p w14:paraId="4992344A">
      <w:pPr>
        <w:pStyle w:val="3"/>
        <w:jc w:val="both"/>
        <w:rPr>
          <w:rFonts w:ascii="Times New Roman" w:hAnsi="Times New Roman" w:cs="Times New Roman"/>
          <w:b/>
          <w:bCs/>
          <w:color w:val="auto"/>
          <w:sz w:val="24"/>
          <w:szCs w:val="24"/>
        </w:rPr>
      </w:pPr>
    </w:p>
    <w:p w14:paraId="7FB539DE">
      <w:pPr>
        <w:pStyle w:val="3"/>
        <w:jc w:val="both"/>
        <w:rPr>
          <w:rFonts w:ascii="Times New Roman" w:hAnsi="Times New Roman" w:cs="Times New Roman"/>
          <w:b/>
          <w:bCs/>
          <w:color w:val="auto"/>
          <w:sz w:val="24"/>
          <w:szCs w:val="24"/>
        </w:rPr>
      </w:pPr>
    </w:p>
    <w:p w14:paraId="20CFC814">
      <w:pPr>
        <w:pStyle w:val="3"/>
        <w:jc w:val="both"/>
        <w:rPr>
          <w:rFonts w:ascii="Times New Roman" w:hAnsi="Times New Roman" w:cs="Times New Roman"/>
          <w:b/>
          <w:bCs/>
          <w:color w:val="auto"/>
          <w:sz w:val="24"/>
          <w:szCs w:val="24"/>
        </w:rPr>
      </w:pPr>
    </w:p>
    <w:p w14:paraId="6F8CFF86">
      <w:pPr>
        <w:pStyle w:val="3"/>
        <w:jc w:val="both"/>
        <w:rPr>
          <w:rFonts w:ascii="Times New Roman" w:hAnsi="Times New Roman" w:cs="Times New Roman"/>
          <w:b/>
          <w:bCs/>
          <w:color w:val="auto"/>
          <w:sz w:val="24"/>
          <w:szCs w:val="24"/>
        </w:rPr>
      </w:pPr>
    </w:p>
    <w:p w14:paraId="26291BCB">
      <w:pPr>
        <w:pStyle w:val="12"/>
        <w:jc w:val="both"/>
      </w:pPr>
    </w:p>
    <w:p w14:paraId="55EAA2BB">
      <w:pPr>
        <w:pStyle w:val="12"/>
        <w:jc w:val="both"/>
      </w:pPr>
    </w:p>
    <w:p w14:paraId="395D6627">
      <w:pPr>
        <w:pStyle w:val="12"/>
        <w:jc w:val="both"/>
        <w:rPr>
          <w:b/>
          <w:bCs/>
        </w:rPr>
      </w:pPr>
      <w:r>
        <w:rPr>
          <w:b/>
          <w:bCs/>
        </w:rPr>
        <w:t>1. INTRODUCTION</w:t>
      </w:r>
    </w:p>
    <w:p w14:paraId="4F24B7D7">
      <w:pPr>
        <w:spacing w:before="240"/>
        <w:jc w:val="both"/>
        <w:rPr>
          <w:rFonts w:eastAsia="Calibri"/>
          <w:szCs w:val="24"/>
        </w:rPr>
      </w:pPr>
      <w:r>
        <w:rPr>
          <w:rFonts w:eastAsia="Calibri"/>
          <w:szCs w:val="24"/>
        </w:rPr>
        <w:t>I return all glory and thanks to Almighty God for His grace, mercy and faithfulness in my life and academic journey. I stand before this distinguished audience with deep gratitude and humility to deliver the 155th Inaugural Lecture of Ambrose Alli University, Ekpoma. I am especially privileged to be able to deliver this lecture as the 2nd in the Department of Business Administration and the 7th in the Faculty of Management Sciences.</w:t>
      </w:r>
    </w:p>
    <w:p w14:paraId="4EAD8C7F">
      <w:pPr>
        <w:spacing w:before="240"/>
        <w:jc w:val="both"/>
        <w:rPr>
          <w:rFonts w:eastAsia="Calibri"/>
          <w:szCs w:val="24"/>
        </w:rPr>
      </w:pPr>
      <w:r>
        <w:rPr>
          <w:rFonts w:eastAsia="Calibri"/>
          <w:szCs w:val="24"/>
        </w:rPr>
        <w:t>An inaugural lecture is not just an occasion to count one's publications or celebrate one's academic career. It enables me to describe in my own words the questions that have shaped my scholarship, the evidence that has informed it, the limits of that evidence, and the contribution I hope to make to knowledge and society.</w:t>
      </w:r>
    </w:p>
    <w:p w14:paraId="72F3B25C">
      <w:pPr>
        <w:spacing w:before="240"/>
        <w:jc w:val="both"/>
        <w:rPr>
          <w:rFonts w:eastAsia="Calibri"/>
          <w:szCs w:val="24"/>
        </w:rPr>
      </w:pPr>
      <w:r>
        <w:rPr>
          <w:rFonts w:eastAsia="Calibri"/>
          <w:szCs w:val="24"/>
        </w:rPr>
        <w:t>The question, which is the subject of this lecture, has been with me throughout my educational career. I started at the level of business organization, asking how does corporate responsibility relate to organisational performance? I became interested in strategic management and corporate governance later on how organisations set direction, allocate assets, exercise authority, manage competing interests and sustain performance. From there the question naturally widened. Can the determinants of organisational effectiveness shed light on the ways in which nations become capable of sustainable development?</w:t>
      </w:r>
    </w:p>
    <w:p w14:paraId="0A0E658B">
      <w:pPr>
        <w:spacing w:before="240"/>
        <w:jc w:val="both"/>
        <w:rPr>
          <w:rFonts w:eastAsia="Calibri"/>
          <w:szCs w:val="24"/>
        </w:rPr>
      </w:pPr>
      <w:r>
        <w:rPr>
          <w:rFonts w:eastAsia="Calibri"/>
          <w:szCs w:val="24"/>
        </w:rPr>
        <w:t>I am not saying that a country is only a big business, it obviously is not. The state has constitutional powers and authority, sovereignty and coercive powers, public responsibilities and political institutions that have no direct corporate counterpart. I ask not to simply graft wholesale corporate governance onto government but rather to explore how its underlying principles of strategic direction, accountability, stakeholder coordination, institutional capability, long-term value creation and sustainability can shed light on public governance when thoughtfully adapted to the public realm.</w:t>
      </w:r>
    </w:p>
    <w:p w14:paraId="3B7949D7">
      <w:pPr>
        <w:spacing w:after="100" w:afterAutospacing="1"/>
        <w:outlineLvl w:val="2"/>
        <w:rPr>
          <w:rFonts w:eastAsia="Calibri"/>
          <w:szCs w:val="24"/>
        </w:rPr>
      </w:pPr>
      <w:r>
        <w:rPr>
          <w:rFonts w:eastAsia="Calibri"/>
          <w:szCs w:val="24"/>
        </w:rPr>
        <w:t>It is with gratitude to God, humility before this distinguished audience and a deep sense of responsibility to scholarship and society that I deliver my inaugural lecture entitled:</w:t>
      </w:r>
    </w:p>
    <w:p w14:paraId="1B14BC8A">
      <w:pPr>
        <w:spacing w:after="100" w:afterAutospacing="1"/>
        <w:jc w:val="both"/>
        <w:outlineLvl w:val="2"/>
        <w:rPr>
          <w:rFonts w:eastAsia="DengXian"/>
          <w:b/>
          <w:bCs/>
          <w:i/>
          <w:iCs/>
          <w:sz w:val="27"/>
          <w:szCs w:val="27"/>
        </w:rPr>
      </w:pPr>
      <w:r>
        <w:rPr>
          <w:rFonts w:eastAsia="Calibri"/>
          <w:szCs w:val="24"/>
        </w:rPr>
        <w:br w:type="textWrapping"/>
      </w:r>
      <w:r>
        <w:rPr>
          <w:i/>
          <w:iCs/>
        </w:rPr>
        <w:t>From Corporate Social Responsibility to Strategic National Transformation: Repositioning Strategic Management and Corporate Governance for Nigeria's Sustainable Development</w:t>
      </w:r>
    </w:p>
    <w:p w14:paraId="06E5D9B2">
      <w:pPr>
        <w:spacing w:before="240"/>
        <w:jc w:val="both"/>
        <w:rPr>
          <w:rFonts w:eastAsia="Calibri"/>
          <w:b/>
          <w:bCs/>
          <w:szCs w:val="24"/>
        </w:rPr>
      </w:pPr>
    </w:p>
    <w:p w14:paraId="4AD6C995">
      <w:pPr>
        <w:spacing w:before="240"/>
        <w:jc w:val="both"/>
        <w:rPr>
          <w:rFonts w:eastAsia="Calibri"/>
          <w:b/>
          <w:bCs/>
          <w:szCs w:val="24"/>
        </w:rPr>
      </w:pPr>
    </w:p>
    <w:p w14:paraId="7B798838">
      <w:pPr>
        <w:spacing w:before="240"/>
        <w:jc w:val="both"/>
        <w:rPr>
          <w:rFonts w:eastAsia="Calibri"/>
          <w:b/>
          <w:bCs/>
          <w:szCs w:val="24"/>
        </w:rPr>
      </w:pPr>
    </w:p>
    <w:p w14:paraId="42BE06BE">
      <w:pPr>
        <w:spacing w:before="240"/>
        <w:jc w:val="both"/>
        <w:rPr>
          <w:rFonts w:eastAsia="Calibri"/>
          <w:b/>
          <w:bCs/>
          <w:szCs w:val="24"/>
        </w:rPr>
      </w:pPr>
    </w:p>
    <w:p w14:paraId="457F2C9F">
      <w:pPr>
        <w:spacing w:before="240"/>
        <w:jc w:val="both"/>
        <w:rPr>
          <w:rFonts w:eastAsia="Calibri"/>
          <w:b/>
          <w:bCs/>
          <w:szCs w:val="24"/>
        </w:rPr>
      </w:pPr>
    </w:p>
    <w:p w14:paraId="4F3791ED">
      <w:pPr>
        <w:spacing w:before="240"/>
        <w:jc w:val="both"/>
        <w:rPr>
          <w:rFonts w:eastAsia="Calibri"/>
          <w:b/>
          <w:bCs/>
          <w:szCs w:val="24"/>
        </w:rPr>
      </w:pPr>
      <w:r>
        <w:rPr>
          <w:rFonts w:eastAsia="Calibri"/>
          <w:b/>
          <w:bCs/>
          <w:szCs w:val="24"/>
        </w:rPr>
        <w:t>INTELLECTUAL JOURNEY: FROM CORPORATE RESPONSIBILITY TO STRATEGIC GOVERNANCE</w:t>
      </w:r>
    </w:p>
    <w:p w14:paraId="21E6017F">
      <w:pPr>
        <w:spacing w:before="240"/>
        <w:jc w:val="both"/>
        <w:rPr>
          <w:rFonts w:eastAsia="Calibri"/>
          <w:b/>
          <w:bCs/>
          <w:szCs w:val="24"/>
        </w:rPr>
      </w:pPr>
      <w:r>
        <w:rPr>
          <w:rFonts w:eastAsia="Calibri"/>
          <w:b/>
          <w:bCs/>
          <w:szCs w:val="24"/>
        </w:rPr>
        <w:t>2.1 My Doctoral Research and the CSR–Performance Question</w:t>
      </w:r>
    </w:p>
    <w:p w14:paraId="0FD43B28">
      <w:pPr>
        <w:spacing w:before="240"/>
        <w:jc w:val="both"/>
        <w:rPr>
          <w:rFonts w:eastAsia="Calibri"/>
          <w:szCs w:val="24"/>
        </w:rPr>
      </w:pPr>
      <w:r>
        <w:rPr>
          <w:rFonts w:eastAsia="Calibri"/>
          <w:szCs w:val="24"/>
        </w:rPr>
        <w:t>My doctoral study examined whether CSR expenditure translated into improved performance among quoted Nigerian firms. The finding surprised me, during the period studied, the relationship was significantly negative. The reported finding of a significant negative relationship between CSR and firm performance was intellectually important because it challenged the assumption that socially responsible activity necessarily produces an immediate positive financial return (Ikharehon, 2014).</w:t>
      </w:r>
    </w:p>
    <w:p w14:paraId="5BEE3516">
      <w:pPr>
        <w:spacing w:before="240"/>
        <w:jc w:val="both"/>
        <w:rPr>
          <w:rFonts w:eastAsia="Calibri"/>
          <w:szCs w:val="24"/>
        </w:rPr>
      </w:pPr>
      <w:r>
        <w:rPr>
          <w:rFonts w:eastAsia="Calibri"/>
          <w:szCs w:val="24"/>
        </w:rPr>
        <w:t>That finding needs to be treated carefully. A statistical relationship is not, by itself, proof of causality. Interpretation depends on the operationalisation of CSR and performance, model specification, omitted variables, endogeneity, reverse causality and the characteristics of the firms and period studied. I therefore see the finding as the starting point for a deeper research question, not as a universal law under some conditions, investments classified as CSR may impose short-run costs, while their benefits may be delayed, indirect or dependent on organisational and institutional conditions.</w:t>
      </w:r>
    </w:p>
    <w:p w14:paraId="5C7778BD">
      <w:pPr>
        <w:spacing w:before="240"/>
        <w:jc w:val="both"/>
        <w:rPr>
          <w:rFonts w:eastAsia="Calibri"/>
          <w:szCs w:val="24"/>
        </w:rPr>
      </w:pPr>
      <w:r>
        <w:rPr>
          <w:rFonts w:eastAsia="Calibri"/>
          <w:szCs w:val="24"/>
        </w:rPr>
        <w:t>That observation pushed me to ask a broader question. If the effect of responsible corporate behaviour depends partly on the organisational and institutional environment, then the study of responsibility cannot be separated from the study of governance, strategy and institutional capability. That insight began the transition from CSR as a discrete corporate activity to responsibility as part of a wider system of value creation (Ikharehon &amp; Osotimehin, 2012; Ikharehon, 2018). However, my intellectual position was not confined to the shareholder perspective.</w:t>
      </w:r>
    </w:p>
    <w:p w14:paraId="6E5FCC24">
      <w:pPr>
        <w:spacing w:before="240"/>
        <w:jc w:val="both"/>
        <w:rPr>
          <w:rFonts w:eastAsia="Calibri"/>
          <w:b/>
          <w:bCs/>
          <w:szCs w:val="24"/>
        </w:rPr>
      </w:pPr>
      <w:r>
        <w:rPr>
          <w:rFonts w:eastAsia="Calibri"/>
          <w:b/>
          <w:bCs/>
          <w:szCs w:val="24"/>
        </w:rPr>
        <w:t>2.2 From Corporate Responsibility to National Responsibility</w:t>
      </w:r>
    </w:p>
    <w:p w14:paraId="6C2766FA">
      <w:pPr>
        <w:spacing w:before="240"/>
        <w:jc w:val="both"/>
        <w:rPr>
          <w:rFonts w:eastAsia="Calibri"/>
          <w:szCs w:val="24"/>
        </w:rPr>
      </w:pPr>
      <w:r>
        <w:rPr>
          <w:rFonts w:eastAsia="Calibri"/>
          <w:szCs w:val="24"/>
        </w:rPr>
        <w:t>CSR traditionally concerns the responsibilities of business organisations towards stakeholders and society. National development concerns a much larger field of actors and outcomes. The connection between them must therefore be made through principles rather than analogy. The transferable principle is that value is created within relationships, constrained by institutions, judged through multiple stakeholder expectations and sustained only when governance arrangements make responsible conduct credible.</w:t>
      </w:r>
    </w:p>
    <w:p w14:paraId="3EA68639">
      <w:pPr>
        <w:spacing w:before="240"/>
        <w:jc w:val="both"/>
        <w:rPr>
          <w:rFonts w:eastAsia="Calibri"/>
          <w:szCs w:val="24"/>
        </w:rPr>
      </w:pPr>
      <w:r>
        <w:rPr>
          <w:rFonts w:eastAsia="Calibri"/>
          <w:szCs w:val="24"/>
        </w:rPr>
        <w:t>Citizens, firms, employees, investors, communities, universities, professional bodies, civil society organisations, development partners and state institutions are the people and institutions active at national level. Their interests aren’t necessarily the same and they don’t just match up. Thus, a critical review of stakeholder participation is necessary. Participation can improve knowledge, legitimacy and ownership but it can also raise coordination costs, provide veto points, permit elite capture or confuse accountability. The key is not whether all stakeholders should have equal voice at all times, but how real interests can be identified, coordinated and included without compromising responsibility, efficiency and accountability.</w:t>
      </w:r>
    </w:p>
    <w:p w14:paraId="157806DC">
      <w:pPr>
        <w:pStyle w:val="3"/>
        <w:spacing w:after="100"/>
        <w:jc w:val="both"/>
        <w:rPr>
          <w:rFonts w:ascii="Times New Roman" w:hAnsi="Times New Roman" w:eastAsia="Times New Roman" w:cs="Times New Roman"/>
          <w:b/>
          <w:bCs/>
          <w:color w:val="auto"/>
          <w:sz w:val="24"/>
          <w:szCs w:val="24"/>
        </w:rPr>
      </w:pPr>
      <w:r>
        <w:rPr>
          <w:rFonts w:ascii="Times New Roman" w:hAnsi="Times New Roman" w:cs="Times New Roman"/>
          <w:b/>
          <w:bCs/>
          <w:color w:val="auto"/>
          <w:sz w:val="24"/>
          <w:szCs w:val="24"/>
        </w:rPr>
        <w:t>2.3 From Organisational Performance to National Transformation</w:t>
      </w:r>
    </w:p>
    <w:p w14:paraId="38ABEAB5">
      <w:pPr>
        <w:spacing w:before="240"/>
        <w:jc w:val="both"/>
        <w:rPr>
          <w:rFonts w:eastAsia="Calibri"/>
          <w:szCs w:val="24"/>
        </w:rPr>
      </w:pPr>
      <w:r>
        <w:rPr>
          <w:rFonts w:eastAsia="Calibri"/>
          <w:szCs w:val="24"/>
        </w:rPr>
        <w:t>That raises a tough question: why does a promising country nonetheless find it hard to convert its advantages into broadly shared prosperity? International development institutions and research have shown time and again that the mere possession of natural resources does not automatically lead to development. Sustainable progress is largely dependent on the quality of governance, the strength of institutions, the soundness of public policy and the capacity of leadership to convert available resources into opportunities and improved living conditions for the people (World Bank, 2024; United Nations Development Program [UNDP], 2024).</w:t>
      </w:r>
    </w:p>
    <w:p w14:paraId="3657F1DA">
      <w:pPr>
        <w:spacing w:before="240"/>
        <w:jc w:val="both"/>
        <w:rPr>
          <w:rFonts w:eastAsia="Calibri"/>
          <w:szCs w:val="24"/>
        </w:rPr>
      </w:pPr>
      <w:r>
        <w:rPr>
          <w:rFonts w:eastAsia="Calibri"/>
          <w:szCs w:val="24"/>
        </w:rPr>
        <w:t>Nigeria is a case in point. Resources are not equivalent to developing. Resources have real developmental value if managed well and used strategically as they are turned into productive assets and capacities that improve the lives of people. That is where strategic management can help. In strategic management, having valuable resources does not guarantee an organization with a competitive advantage. What matters is its capacity to organise, deploy, combine and convert these resources into capabilities that create sustainable value (Ikharehon, 2025).</w:t>
      </w:r>
    </w:p>
    <w:p w14:paraId="66E618B3">
      <w:pPr>
        <w:spacing w:before="240"/>
        <w:jc w:val="both"/>
        <w:rPr>
          <w:rFonts w:eastAsia="Calibri"/>
          <w:szCs w:val="24"/>
        </w:rPr>
      </w:pPr>
      <w:r>
        <w:rPr>
          <w:rFonts w:eastAsia="Calibri"/>
          <w:szCs w:val="24"/>
        </w:rPr>
        <w:t>This concept can be implemented throughout the country. A country may have oil, gas, minerals, fertile land and a large population but these are not enough to guarantee prosperity. The progress of nations is dependent on the effective governance, development and transformation of such resources into productive capacity, innovation, employment, infrastructure and improved human well-being.</w:t>
      </w:r>
    </w:p>
    <w:p w14:paraId="244E896F">
      <w:pPr>
        <w:spacing w:before="240"/>
        <w:jc w:val="both"/>
        <w:rPr>
          <w:rFonts w:eastAsia="Calibri"/>
          <w:szCs w:val="24"/>
        </w:rPr>
      </w:pPr>
      <w:r>
        <w:rPr>
          <w:rFonts w:eastAsia="Calibri"/>
          <w:szCs w:val="24"/>
        </w:rPr>
        <w:t>So, Nigeria's challenge is not merely a matter of resources not being available. More fundamentally it is a matter of strategic capacity. Our capacity to convert what we have into what we need.</w:t>
      </w:r>
    </w:p>
    <w:p w14:paraId="73FB2B35">
      <w:pPr>
        <w:pStyle w:val="3"/>
        <w:spacing w:after="100"/>
        <w:jc w:val="both"/>
        <w:rPr>
          <w:rFonts w:ascii="Times New Roman" w:hAnsi="Times New Roman" w:eastAsia="Times New Roman" w:cs="Times New Roman"/>
          <w:b/>
          <w:bCs/>
          <w:color w:val="auto"/>
          <w:sz w:val="24"/>
          <w:szCs w:val="24"/>
        </w:rPr>
      </w:pPr>
      <w:r>
        <w:rPr>
          <w:rFonts w:ascii="Times New Roman" w:hAnsi="Times New Roman" w:cs="Times New Roman"/>
          <w:b/>
          <w:bCs/>
          <w:color w:val="auto"/>
          <w:sz w:val="24"/>
          <w:szCs w:val="24"/>
        </w:rPr>
        <w:t>2.4 The Central Argument of the Lecture</w:t>
      </w:r>
    </w:p>
    <w:p w14:paraId="05B57FD3">
      <w:pPr>
        <w:jc w:val="both"/>
        <w:rPr>
          <w:rFonts w:eastAsia="Calibri"/>
          <w:szCs w:val="24"/>
        </w:rPr>
      </w:pPr>
      <w:r>
        <w:rPr>
          <w:rFonts w:eastAsia="Calibri"/>
          <w:szCs w:val="24"/>
        </w:rPr>
        <w:t>Drawing on my research on Corporate Social Responsibility, strategic management and corporate governance, the central argument of this lecture is simple: Nigeria's development outcomes depend not only on the volume of resources available or the quality of individual policies, but, by extension, sustainable national transformation depends on the alignment of strategic direction, responsible governance, institutional capability, stakeholder value creation and sustainability. I bring these five dimensions together in the Strategic Governance–Development Alignment Framework (SGDAF), proposed as a conceptual and practical lens for connecting policy intent with institutional implementation and measurable development outcomes. The discussion that follows examines this proposition against Nigeria's experience. I will return to it after examining the Nigerian problem.</w:t>
      </w:r>
    </w:p>
    <w:p w14:paraId="62CADB97">
      <w:pPr>
        <w:jc w:val="both"/>
        <w:rPr>
          <w:rFonts w:eastAsia="Calibri"/>
          <w:b/>
          <w:bCs/>
          <w:szCs w:val="24"/>
        </w:rPr>
      </w:pPr>
    </w:p>
    <w:p w14:paraId="2E7BA5B3">
      <w:pPr>
        <w:jc w:val="both"/>
        <w:rPr>
          <w:rFonts w:eastAsia="Calibri"/>
          <w:b/>
          <w:bCs/>
          <w:szCs w:val="24"/>
        </w:rPr>
      </w:pPr>
    </w:p>
    <w:p w14:paraId="4C11837D">
      <w:pPr>
        <w:jc w:val="both"/>
        <w:rPr>
          <w:rFonts w:eastAsia="Calibri"/>
          <w:b/>
          <w:bCs/>
          <w:szCs w:val="24"/>
        </w:rPr>
      </w:pPr>
    </w:p>
    <w:p w14:paraId="1EF586F7">
      <w:pPr>
        <w:jc w:val="both"/>
        <w:rPr>
          <w:rFonts w:eastAsia="Calibri"/>
          <w:b/>
          <w:bCs/>
          <w:szCs w:val="24"/>
        </w:rPr>
      </w:pPr>
      <w:r>
        <w:rPr>
          <w:rFonts w:eastAsia="Calibri"/>
          <w:b/>
          <w:bCs/>
          <w:szCs w:val="24"/>
        </w:rPr>
        <w:t>3. FROM CSR TO STRATEGIC VALUE CREATION</w:t>
      </w:r>
    </w:p>
    <w:p w14:paraId="4C4765E1">
      <w:pPr>
        <w:pStyle w:val="3"/>
        <w:spacing w:after="100"/>
        <w:jc w:val="both"/>
        <w:rPr>
          <w:rFonts w:ascii="Times New Roman" w:hAnsi="Times New Roman" w:eastAsia="Times New Roman" w:cs="Times New Roman"/>
          <w:b/>
          <w:bCs/>
          <w:color w:val="auto"/>
          <w:sz w:val="24"/>
          <w:szCs w:val="24"/>
        </w:rPr>
      </w:pPr>
      <w:r>
        <w:rPr>
          <w:rFonts w:ascii="Times New Roman" w:hAnsi="Times New Roman" w:cs="Times New Roman"/>
          <w:b/>
          <w:bCs/>
          <w:color w:val="auto"/>
          <w:sz w:val="24"/>
          <w:szCs w:val="24"/>
        </w:rPr>
        <w:t>3.1 Historical Development of Corporate Social Responsibility</w:t>
      </w:r>
    </w:p>
    <w:p w14:paraId="6A1C52C2">
      <w:pPr>
        <w:spacing w:before="240"/>
        <w:jc w:val="both"/>
        <w:rPr>
          <w:rFonts w:eastAsia="Calibri"/>
          <w:szCs w:val="24"/>
        </w:rPr>
      </w:pPr>
      <w:r>
        <w:rPr>
          <w:rFonts w:eastAsia="Calibri"/>
          <w:szCs w:val="24"/>
        </w:rPr>
        <w:t xml:space="preserve">CSR evolved from philanthropic and ethical notions of business responsibility to wider considerations of stakeholders, sustainability, accountability and the social consequences of corporate activity. Bowen (1953) situated social responsibility as an obligation of business leaders; Friedman (1970) offered a counter shareholder-oriented perspective; Carroll (2021), and subsequent research developed broader approaches; and contemporary CSR is increasingly aligned with ESG, sustainability and stakeholder value. CSR thus gradually evolved from an occasional philanthropic activity to a more important part of strategic management and corporate decision-making (Aguinis &amp; Glavas, 2019). </w:t>
      </w:r>
    </w:p>
    <w:p w14:paraId="5B9FDD80">
      <w:pPr>
        <w:spacing w:before="240"/>
        <w:jc w:val="both"/>
        <w:rPr>
          <w:rFonts w:eastAsia="Calibri"/>
          <w:szCs w:val="24"/>
        </w:rPr>
      </w:pPr>
      <w:r>
        <w:rPr>
          <w:rFonts w:eastAsia="Calibri"/>
          <w:szCs w:val="24"/>
        </w:rPr>
        <w:t>What matters for my argument here is not that CSR and national development are identical. But it does reveal that management scholarship moved from a narrow conception of value to a wider question: how should organisations create value while taking into account the interests and long-term consequences of their decisions? SGDAF takes that question into a different institutional context.</w:t>
      </w:r>
    </w:p>
    <w:p w14:paraId="1F016F76">
      <w:pPr>
        <w:pStyle w:val="3"/>
        <w:spacing w:after="100"/>
        <w:jc w:val="both"/>
        <w:rPr>
          <w:rFonts w:ascii="Times New Roman" w:hAnsi="Times New Roman" w:eastAsia="Times New Roman" w:cs="Times New Roman"/>
          <w:b/>
          <w:bCs/>
          <w:color w:val="auto"/>
          <w:sz w:val="24"/>
          <w:szCs w:val="24"/>
        </w:rPr>
      </w:pPr>
      <w:r>
        <w:rPr>
          <w:rFonts w:ascii="Times New Roman" w:hAnsi="Times New Roman" w:cs="Times New Roman"/>
          <w:b/>
          <w:bCs/>
          <w:color w:val="auto"/>
          <w:sz w:val="24"/>
          <w:szCs w:val="24"/>
        </w:rPr>
        <w:t>3.2 Shareholder and Stakeholder Perspectives</w:t>
      </w:r>
    </w:p>
    <w:p w14:paraId="151DD44B">
      <w:pPr>
        <w:spacing w:before="240"/>
        <w:jc w:val="both"/>
        <w:rPr>
          <w:rFonts w:eastAsia="Calibri"/>
          <w:szCs w:val="24"/>
        </w:rPr>
      </w:pPr>
      <w:r>
        <w:rPr>
          <w:rFonts w:eastAsia="Calibri"/>
          <w:szCs w:val="24"/>
        </w:rPr>
        <w:t xml:space="preserve">The shareholder–stakeholder debate highlights an ongoing tension between narrow and broad views of organisational purpose. Stakeholder Theory expands the analysis by taking into account the importance of relationships with employees, customers, suppliers, communities, regulators, investors and other affected groups (Freeman, 1984; Freeman et al., 2020). The corresponding insight for national development is that citizens and other societal actors should not be treated as passive recipients of policy. Implementation is affected by their knowledge, resources, incentives and responses. </w:t>
      </w:r>
    </w:p>
    <w:p w14:paraId="3465ED3B">
      <w:pPr>
        <w:spacing w:before="240"/>
        <w:jc w:val="both"/>
        <w:rPr>
          <w:rFonts w:eastAsia="Calibri"/>
          <w:b/>
          <w:bCs/>
          <w:szCs w:val="24"/>
        </w:rPr>
      </w:pPr>
      <w:r>
        <w:rPr>
          <w:rFonts w:eastAsia="Calibri"/>
          <w:b/>
          <w:bCs/>
          <w:szCs w:val="24"/>
        </w:rPr>
        <w:t xml:space="preserve">3.3 ESG and the Transition to Sustainability </w:t>
      </w:r>
    </w:p>
    <w:p w14:paraId="454ABBD0">
      <w:pPr>
        <w:spacing w:before="240"/>
        <w:jc w:val="both"/>
        <w:rPr>
          <w:rFonts w:eastAsia="Calibri"/>
          <w:szCs w:val="24"/>
        </w:rPr>
      </w:pPr>
      <w:r>
        <w:rPr>
          <w:rFonts w:eastAsia="Calibri"/>
          <w:szCs w:val="24"/>
        </w:rPr>
        <w:t xml:space="preserve">Sustainability today forces us to ask a wider question about performance. Economic viability, social consequences and environmental impacts are interconnected. Of course, these three dimensions are not always maximisable at the same time. There are real trade-offs, and they need to be confronted openly. The challenge is to identify those trade-offs, make them explicit, ensure minimum social and environmental conditions, and assess whether current gains undermine future productivity and human capacity. Today a profitable company that destroys its environment, mistreats employees and operates under weak governance may be financially successful without creating sustainable value. </w:t>
      </w:r>
    </w:p>
    <w:p w14:paraId="5F13EA0F">
      <w:pPr>
        <w:spacing w:before="240"/>
        <w:jc w:val="both"/>
        <w:rPr>
          <w:rFonts w:eastAsia="Calibri"/>
          <w:b/>
          <w:bCs/>
          <w:szCs w:val="24"/>
        </w:rPr>
      </w:pPr>
      <w:r>
        <w:rPr>
          <w:rFonts w:eastAsia="Calibri"/>
          <w:b/>
          <w:bCs/>
          <w:szCs w:val="24"/>
        </w:rPr>
        <w:t xml:space="preserve">3.4 Corporate Governance as Strategic Capability </w:t>
      </w:r>
    </w:p>
    <w:p w14:paraId="1A0736F0">
      <w:pPr>
        <w:spacing w:before="240"/>
        <w:jc w:val="both"/>
        <w:rPr>
          <w:rFonts w:eastAsia="Calibri"/>
          <w:szCs w:val="24"/>
        </w:rPr>
      </w:pPr>
      <w:r>
        <w:rPr>
          <w:rFonts w:eastAsia="Calibri"/>
          <w:szCs w:val="24"/>
        </w:rPr>
        <w:t>Good corporate governance is more than simply ensuring compliance. It can also be a strategically capability. Corporate governance is about direction, oversight, accountability, risk, controls, transparency and responsible decision making. What’s important for this lecture is the way governance works in practice: governance determines who has authority, how authority is checked, how performance is monitored, how risks are managed and what happens when performance falls short. These principles can be applied to public governance only after they have been adapted to constitutional and democratic contexts. What is emerging is strategic public governance, not an effort to make government into a corporation.</w:t>
      </w:r>
    </w:p>
    <w:p w14:paraId="21D367D6">
      <w:pPr>
        <w:pStyle w:val="2"/>
        <w:jc w:val="both"/>
        <w:rPr>
          <w:rFonts w:ascii="Times New Roman" w:hAnsi="Times New Roman" w:eastAsia="SimSun" w:cs="Times New Roman"/>
          <w:bCs w:val="0"/>
          <w:color w:val="auto"/>
          <w:kern w:val="36"/>
          <w:sz w:val="24"/>
          <w:szCs w:val="24"/>
        </w:rPr>
      </w:pPr>
      <w:r>
        <w:rPr>
          <w:rFonts w:ascii="Times New Roman" w:hAnsi="Times New Roman" w:cs="Times New Roman"/>
          <w:bCs w:val="0"/>
          <w:color w:val="auto"/>
          <w:kern w:val="36"/>
          <w:sz w:val="24"/>
          <w:szCs w:val="24"/>
        </w:rPr>
        <w:t>4. GOVERNMENT AS CATALYST: ENABLING COLLABORATIVE NATIONAL DEVELOPMENT</w:t>
      </w:r>
    </w:p>
    <w:p w14:paraId="46433DA1">
      <w:pPr>
        <w:spacing w:before="240"/>
        <w:jc w:val="both"/>
        <w:rPr>
          <w:rFonts w:eastAsia="Calibri"/>
          <w:szCs w:val="24"/>
        </w:rPr>
      </w:pPr>
      <w:r>
        <w:rPr>
          <w:rFonts w:eastAsia="Calibri"/>
          <w:szCs w:val="24"/>
        </w:rPr>
        <w:t>Government has a distinctive role because it can establish rules, provide public goods, regulate markets, coordinate collective action and mobilise public resources. Yet government is not necessarily the sole provider; it can be an enabler, coordinator and catalyst. Nigeria's recent development history offers several examples of how carefully designed public policies can stimulate private investment, strengthen institutions and promote economic growth. These experiences suggest that government can sometimes achieve more by creating the right environment than by attempting to undertake every economic and developmental activity directly.</w:t>
      </w:r>
    </w:p>
    <w:p w14:paraId="1CA02EDE">
      <w:pPr>
        <w:pStyle w:val="5"/>
        <w:keepLines w:val="0"/>
        <w:jc w:val="both"/>
        <w:rPr>
          <w:rFonts w:ascii="Times New Roman" w:hAnsi="Times New Roman" w:eastAsia="SimSun"/>
          <w:b/>
          <w:bCs/>
          <w:i w:val="0"/>
          <w:iCs w:val="0"/>
          <w:color w:val="000000" w:themeColor="text1"/>
          <w:sz w:val="24"/>
          <w:szCs w:val="24"/>
          <w14:textFill>
            <w14:solidFill>
              <w14:schemeClr w14:val="tx1"/>
            </w14:solidFill>
          </w14:textFill>
        </w:rPr>
      </w:pPr>
      <w:r>
        <w:rPr>
          <w:rFonts w:ascii="Times New Roman" w:hAnsi="Times New Roman"/>
          <w:b/>
          <w:bCs/>
          <w:i w:val="0"/>
          <w:iCs w:val="0"/>
          <w:color w:val="000000" w:themeColor="text1"/>
          <w:sz w:val="24"/>
          <w:szCs w:val="24"/>
          <w14:textFill>
            <w14:solidFill>
              <w14:schemeClr w14:val="tx1"/>
            </w14:solidFill>
          </w14:textFill>
        </w:rPr>
        <w:t>4.1 Liberalisation of the Telecommunications Sector</w:t>
      </w:r>
    </w:p>
    <w:p w14:paraId="4832CB45">
      <w:pPr>
        <w:spacing w:before="240"/>
        <w:jc w:val="both"/>
        <w:rPr>
          <w:rFonts w:eastAsia="Calibri"/>
          <w:szCs w:val="24"/>
        </w:rPr>
      </w:pPr>
      <w:r>
        <w:rPr>
          <w:rFonts w:eastAsia="Calibri"/>
          <w:szCs w:val="24"/>
        </w:rPr>
        <w:t>One of the most visible achievements of policy in the country has been the reform of Nigeria’s telecommunications sector. Prior to the liberalisation of the industry in 2001, access to communications services was quite limited. The communication infrastructure was expensive, unreliable and only available to a tiny fraction of the population. Most of the companies were using outdated analogue systems and it was often difficult for the typical Nigerian to get and keep telephone connections. The circumstances changed drastically because of the deregulation of the sector. The government opted for a regulatory framework and licenses to private enterprises that compete rather than a state-controlled monopoly. In telecommunications, the policy overhaul has attracted major domestic and international investments. The outcomes have been fantastic. The number of active mobile phone subscribers has risen from less than 1 million lines in 2001 to more than 200 million presently. Digital connectivity has progressed at a quick pace and given rise to e-commerce, financial technology, digital banking, online education and many other technology-led sectors. The expanding telecommunications environment has created direct and indirect employment opportunities for millions of Nigerians (Nigerian Communications Commission [NCC], 2024). The overall lesson from this occurrence is fairly simple. MTN, Airtel, Globacom or 9mobile were not created by the government. But the policy and regulatory architecture it put in place has helped these firms to invest, compete, develop and produce value for the Nigerian economy.</w:t>
      </w:r>
    </w:p>
    <w:p w14:paraId="5FAD00FD">
      <w:pPr>
        <w:spacing w:before="240"/>
        <w:jc w:val="both"/>
        <w:rPr>
          <w:rFonts w:eastAsia="Calibri"/>
          <w:szCs w:val="24"/>
        </w:rPr>
      </w:pPr>
      <w:r>
        <w:rPr>
          <w:rFonts w:eastAsia="Calibri"/>
          <w:szCs w:val="24"/>
        </w:rPr>
        <w:t xml:space="preserve">The telecom scenario is an illustration of the importance of legal structures, market motivators and cooperation of institutions. It's more than merely liberalisation. Policy formulation, trustworthiness of regulation, motivation for investment and technological expertise can bring about transformation of the sector. So, this configuration is beneficial for SGDAF. This circumstance is aligned and not caused by a single reason. </w:t>
      </w:r>
    </w:p>
    <w:p w14:paraId="0B0BCB78">
      <w:pPr>
        <w:spacing w:before="240"/>
        <w:jc w:val="both"/>
        <w:rPr>
          <w:rFonts w:eastAsia="Calibri"/>
          <w:b/>
          <w:bCs/>
          <w:szCs w:val="24"/>
        </w:rPr>
      </w:pPr>
      <w:r>
        <w:rPr>
          <w:rFonts w:eastAsia="Calibri"/>
          <w:b/>
          <w:bCs/>
          <w:szCs w:val="24"/>
        </w:rPr>
        <w:t xml:space="preserve">4.2 Pension reform </w:t>
      </w:r>
    </w:p>
    <w:p w14:paraId="5E89811A">
      <w:pPr>
        <w:spacing w:before="240"/>
        <w:jc w:val="both"/>
        <w:rPr>
          <w:rFonts w:eastAsia="Calibri"/>
          <w:szCs w:val="24"/>
        </w:rPr>
      </w:pPr>
      <w:r>
        <w:rPr>
          <w:rFonts w:eastAsia="Calibri"/>
          <w:szCs w:val="24"/>
        </w:rPr>
        <w:t xml:space="preserve">A further important illustration of the developmental value of institutional reform is Nigeria’s pension reform program. Before the introduction of contributory pension scheme, the pension administration was characterised by large funding gaps, late payments and increasing financial burden on the government. Many retirees had waited a long time for their benefits; the system itself was underfunded and poorly administered. The Pension Reform Act established a contributory pension scheme to be administered by licensed Pension Administrators and supervised by the National Pension Commission. The reform has resulted in a more professional, better regulated, more transparent and more structured management of pension funds. The reform has also mobilised significant long term domestic savings and enhanced retirement security for workers. Pension Fund Assets were N22.51 trillion as at 31 December 2024. A large part of these funds has been invested in federal government securities and in other productive sectors of the economy. The pension system has increased Nigeria’s capital market (National Pension Commission [PenCom], 2024). The experience also indicates that well-formed institutions can achieve more lasting outcomes than direct administration by government. </w:t>
      </w:r>
    </w:p>
    <w:p w14:paraId="5C2A995C">
      <w:pPr>
        <w:spacing w:before="240"/>
        <w:jc w:val="both"/>
        <w:rPr>
          <w:rFonts w:eastAsia="Calibri"/>
          <w:szCs w:val="24"/>
        </w:rPr>
      </w:pPr>
      <w:r>
        <w:rPr>
          <w:rFonts w:eastAsia="Calibri"/>
          <w:szCs w:val="24"/>
        </w:rPr>
        <w:t>Pension reform is an example of how institutional design may change incentives, formalise savings, and create a framework for generating long-term financial resources. This case study is concerned with concerns of strategic direction, regulatory governance and institutional capabilities. It also shows why reform requires continuity: rules which change unpredictably may undermine confidence and long-term participation.</w:t>
      </w:r>
    </w:p>
    <w:p w14:paraId="694A533C">
      <w:pPr>
        <w:pStyle w:val="5"/>
        <w:keepLines w:val="0"/>
        <w:jc w:val="both"/>
        <w:rPr>
          <w:rFonts w:ascii="Times New Roman" w:hAnsi="Times New Roman" w:eastAsia="SimSun"/>
          <w:b/>
          <w:bCs/>
          <w:i w:val="0"/>
          <w:iCs w:val="0"/>
          <w:color w:val="auto"/>
          <w:sz w:val="24"/>
          <w:szCs w:val="24"/>
        </w:rPr>
      </w:pPr>
      <w:r>
        <w:rPr>
          <w:rFonts w:ascii="Times New Roman" w:hAnsi="Times New Roman"/>
          <w:b/>
          <w:bCs/>
          <w:i w:val="0"/>
          <w:iCs w:val="0"/>
          <w:color w:val="auto"/>
          <w:sz w:val="24"/>
          <w:szCs w:val="24"/>
        </w:rPr>
        <w:t>4.3 Banking Sector Consolidation</w:t>
      </w:r>
      <w:r>
        <w:rPr>
          <w:rFonts w:ascii="Times New Roman" w:hAnsi="Times New Roman"/>
          <w:b/>
          <w:bCs/>
          <w:color w:val="auto"/>
          <w:sz w:val="24"/>
          <w:szCs w:val="24"/>
        </w:rPr>
        <w:t xml:space="preserve"> </w:t>
      </w:r>
    </w:p>
    <w:p w14:paraId="63680574">
      <w:pPr>
        <w:spacing w:before="240"/>
        <w:jc w:val="both"/>
        <w:rPr>
          <w:rFonts w:eastAsia="Calibri"/>
          <w:szCs w:val="24"/>
        </w:rPr>
      </w:pPr>
      <w:r>
        <w:rPr>
          <w:rFonts w:eastAsia="Calibri"/>
          <w:szCs w:val="24"/>
        </w:rPr>
        <w:t xml:space="preserve">Another big policy shift was the banking sector reforms in 2004 spearheaded by the Central Bank of Nigeria. It encouraged commercial bank mergers, acquisitions and recapitalisation resulting from increased capital standards and enhanced regulatory oversight. Bigger, stronger institutions to support a rapidly expanding economy, the idea was. The emergence of more robust banks instilled confidence in the banking sector, as well as the ability of Nigerian banks to provide funds for large-scale investments in infrastructure, manufacturing, agriculture and export to international markets. Despite occasional issues in the industry, the consolidation move was crucial in ensuring the industry's financial stability and investor confidence (Soludo, 2004; IMF, 2024). </w:t>
      </w:r>
    </w:p>
    <w:p w14:paraId="28A6191F">
      <w:pPr>
        <w:spacing w:before="240"/>
        <w:jc w:val="both"/>
        <w:rPr>
          <w:rFonts w:eastAsia="Calibri"/>
          <w:b/>
          <w:bCs/>
          <w:szCs w:val="24"/>
        </w:rPr>
      </w:pPr>
      <w:r>
        <w:rPr>
          <w:rFonts w:eastAsia="Calibri"/>
          <w:b/>
          <w:bCs/>
          <w:szCs w:val="24"/>
        </w:rPr>
        <w:t xml:space="preserve">4.4 The growth of Nigeria's FinTech sector  </w:t>
      </w:r>
    </w:p>
    <w:p w14:paraId="071E75E9">
      <w:pPr>
        <w:spacing w:before="240"/>
        <w:jc w:val="both"/>
        <w:rPr>
          <w:rFonts w:eastAsia="Calibri"/>
          <w:szCs w:val="24"/>
        </w:rPr>
      </w:pPr>
      <w:r>
        <w:rPr>
          <w:rFonts w:eastAsia="Calibri"/>
          <w:szCs w:val="24"/>
        </w:rPr>
        <w:t xml:space="preserve">Nigeria's rapidly expanding fintech sector is another case in point of the importance of a conducive policy setting. Opportunities for innovation were presented by government policies such as the cashless policy, the introduction of the Bank Verification Number (BVN), the development of the digital payment infrastructure through the Nigeria Inter-Bank Settlement System (NIBSS) and the gradual development of regulatory structures for financial technology. This new ecosystem has led to the formation of home-grown firms such as Flutterwave, Paystack, Moniepoint and Interswitch that are now recognised as global technology firms that support millions of customers across Africa and beyond. Again, they weren't made by the government. Their growth are testament to the ability of entrepreneurs and private investors to innovate in a space that is increasingly marked by new opportunities for competition, technological development and investment. </w:t>
      </w:r>
    </w:p>
    <w:p w14:paraId="369E0F3D">
      <w:pPr>
        <w:spacing w:before="240"/>
        <w:jc w:val="both"/>
        <w:rPr>
          <w:rFonts w:eastAsia="Calibri"/>
          <w:szCs w:val="24"/>
        </w:rPr>
      </w:pPr>
      <w:r>
        <w:rPr>
          <w:rFonts w:eastAsia="Calibri"/>
          <w:szCs w:val="24"/>
        </w:rPr>
        <w:t>This is also reflected in the relationship between regulation, private innovation, infrastructure and market needs as demonstrated in the interdependence of banking and the emergence of fintech. From these examples, we learn an important lesson that the government could act as a catalyst and complementary capacities. They also emphasise the need for flexible regulation, as institutions must champion the public good but not at the expense of innovation.</w:t>
      </w:r>
    </w:p>
    <w:p w14:paraId="68BB5559">
      <w:pPr>
        <w:spacing w:before="240"/>
        <w:jc w:val="both"/>
        <w:rPr>
          <w:rFonts w:eastAsia="Calibri"/>
          <w:b/>
          <w:bCs/>
          <w:szCs w:val="24"/>
        </w:rPr>
      </w:pPr>
      <w:r>
        <w:rPr>
          <w:rFonts w:eastAsia="Calibri"/>
          <w:b/>
          <w:bCs/>
          <w:szCs w:val="24"/>
        </w:rPr>
        <w:t xml:space="preserve">4.5 TETFund and Higher Education </w:t>
      </w:r>
    </w:p>
    <w:p w14:paraId="75C62E64">
      <w:pPr>
        <w:spacing w:before="240"/>
        <w:jc w:val="both"/>
        <w:rPr>
          <w:rFonts w:eastAsia="Calibri"/>
          <w:szCs w:val="24"/>
        </w:rPr>
      </w:pPr>
      <w:r>
        <w:rPr>
          <w:rFonts w:eastAsia="Calibri"/>
          <w:szCs w:val="24"/>
        </w:rPr>
        <w:t>One of the most significant policy interventions in the Nigerian higher education sector is the establishment of the Tertiary Education Trust Fund (TETFund) through the Tertiary Education Trust Fund (Establishment, Etc.) Act, 2011. TETFund was created to confront the ongoing problems of infrastructure, research and capacity development confronting public tertiary institutions. It is funded from the Education Tax on the profits of companies operating in Nigeria that are taxable. Unlike traditional government allocations, which are often used for recurrent expenditure, TETFund’s is very much geared toward long-term institutional development. Its interventions have resulted in the construction and renovation of lecture theatres, laboratories, libraries, postgraduate facilities, hostels, administrative buildings and information and communication technology infrastructure in federal and state-owned tertiary institutions. The Fund has also invested heavily in staff development, funding post graduate courses, attendance at conferences, academic publishing, research support and professional training. Most of the Nigerian Universities have been upgraded in teaching, research competence and learning environment as a consequence of these initiatives. Perhaps the institutional architecture of TETFund is its strength. The administration has not come up with another way to disburse the money. It provided a framework with defined intervention areas, eligibility criteria, monitoring methods and accountability measures.</w:t>
      </w:r>
    </w:p>
    <w:p w14:paraId="4EEEA438">
      <w:pPr>
        <w:spacing w:before="240"/>
        <w:jc w:val="both"/>
        <w:rPr>
          <w:rFonts w:eastAsia="Calibri"/>
          <w:szCs w:val="24"/>
        </w:rPr>
      </w:pPr>
      <w:r>
        <w:rPr>
          <w:rFonts w:eastAsia="Calibri"/>
          <w:szCs w:val="24"/>
        </w:rPr>
        <w:t>The TETFund is a good case in point of targeted public investment in intellectual infrastructure.</w:t>
      </w:r>
    </w:p>
    <w:p w14:paraId="341ED5C8">
      <w:pPr>
        <w:spacing w:before="240"/>
        <w:jc w:val="both"/>
        <w:rPr>
          <w:rFonts w:eastAsia="Calibri"/>
          <w:szCs w:val="24"/>
        </w:rPr>
      </w:pPr>
      <w:r>
        <w:rPr>
          <w:rFonts w:eastAsia="Calibri"/>
          <w:szCs w:val="24"/>
        </w:rPr>
        <w:t>strategic importance as it seeks to connect public funding with institutional capacities in higher education. The instance also illustrates the limits of finance alone. Good governance, human capital, maintenance systems, research incentives, industry alliances and institutional autonomy with accountability are needed for universities to perform sustainably.</w:t>
      </w:r>
    </w:p>
    <w:p w14:paraId="1DFC208A">
      <w:pPr>
        <w:spacing w:before="240"/>
        <w:jc w:val="both"/>
        <w:rPr>
          <w:rFonts w:eastAsia="Calibri"/>
          <w:szCs w:val="24"/>
        </w:rPr>
      </w:pPr>
      <w:r>
        <w:rPr>
          <w:rFonts w:eastAsia="Calibri"/>
          <w:szCs w:val="24"/>
        </w:rPr>
        <w:t>Collectively, the cases provide a good lesson. The persistent developmental impact of government action is more likely to be realised when the policy direction, governance frameworks, institutional capacities and resources of other stakeholders are mutually supportive.</w:t>
      </w:r>
    </w:p>
    <w:p w14:paraId="6C792187">
      <w:pPr>
        <w:pStyle w:val="2"/>
        <w:jc w:val="both"/>
        <w:rPr>
          <w:rFonts w:ascii="Times New Roman" w:hAnsi="Times New Roman" w:eastAsia="SimSun" w:cs="Times New Roman"/>
          <w:b w:val="0"/>
          <w:color w:val="000000" w:themeColor="text1"/>
          <w:kern w:val="36"/>
          <w:sz w:val="24"/>
          <w:szCs w:val="24"/>
          <w14:textFill>
            <w14:solidFill>
              <w14:schemeClr w14:val="tx1"/>
            </w14:solidFill>
          </w14:textFill>
        </w:rPr>
      </w:pPr>
      <w:r>
        <w:rPr>
          <w:rFonts w:ascii="Times New Roman" w:hAnsi="Times New Roman" w:cs="Times New Roman"/>
          <w:bCs w:val="0"/>
          <w:color w:val="000000" w:themeColor="text1"/>
          <w:kern w:val="36"/>
          <w:sz w:val="24"/>
          <w:szCs w:val="24"/>
          <w14:textFill>
            <w14:solidFill>
              <w14:schemeClr w14:val="tx1"/>
            </w14:solidFill>
          </w14:textFill>
        </w:rPr>
        <w:t>5. WHEN THE ENABLING ENVIRONMENT FAILS: GOVERNANCE CONSTRAINTS IN NIGERIA</w:t>
      </w:r>
    </w:p>
    <w:p w14:paraId="7E08183F">
      <w:pPr>
        <w:spacing w:before="240"/>
        <w:jc w:val="both"/>
        <w:rPr>
          <w:rFonts w:eastAsia="Calibri"/>
          <w:szCs w:val="24"/>
        </w:rPr>
      </w:pPr>
      <w:r>
        <w:rPr>
          <w:rFonts w:eastAsia="Calibri"/>
          <w:szCs w:val="24"/>
        </w:rPr>
        <w:t xml:space="preserve">These instances above show what can happen when the government gets the foundation correct. But there is another side of the story, what if these pre-requisites are not completed? The following section examines some of the primary areas where flaws in the enabling environment have impeded Nigeria's progress. These include policy inconsistencies, inadequate infrastructure, instability, corruption and institutional weakness, industrial disruptions, brain drain, ageing facilities, inadequate laboratories and weak university-industry relationship. Do not think all these problems are due to the same thing. These are potential weak links in the chain linking strategic goal to development outcome. </w:t>
      </w:r>
    </w:p>
    <w:p w14:paraId="179731C9">
      <w:pPr>
        <w:spacing w:before="240"/>
        <w:jc w:val="both"/>
        <w:rPr>
          <w:rFonts w:eastAsia="Calibri"/>
          <w:b/>
          <w:bCs/>
          <w:szCs w:val="24"/>
        </w:rPr>
      </w:pPr>
      <w:r>
        <w:rPr>
          <w:rFonts w:eastAsia="Calibri"/>
          <w:b/>
          <w:bCs/>
          <w:szCs w:val="24"/>
        </w:rPr>
        <w:t xml:space="preserve">5.1 Policy Incongruence </w:t>
      </w:r>
    </w:p>
    <w:p w14:paraId="1E5D9A1A">
      <w:pPr>
        <w:spacing w:before="240"/>
        <w:jc w:val="both"/>
        <w:rPr>
          <w:rFonts w:eastAsia="Calibri"/>
          <w:szCs w:val="24"/>
        </w:rPr>
      </w:pPr>
      <w:r>
        <w:rPr>
          <w:rFonts w:eastAsia="Calibri"/>
          <w:szCs w:val="24"/>
        </w:rPr>
        <w:t>Stability in the policy environment is particularly important for economic growth because most of the investment decisions are taken on the basis of expectations about the future. When corporations can reasonably expect the rules of the game to remain unchanged in unpredictable ways, they are more inclined to spend capital in long term projects. But there’s vagueness when policies are shifting often. They make planning more difficult, raise corporate risk and can deter local and foreign investment. For example in Nigeria, foreign exchange management, import restriction, petrol price, taxation and industrial policy have been changed frequently. Businesses often have to respond to rapidly changing operating conditions, sometimes with little consultation or inadequate transition periods. Policies that are adopted, revoked or dramatically changed over short periods may make it difficult for firms to make solid long-term investment decisions.</w:t>
      </w:r>
    </w:p>
    <w:p w14:paraId="07EDA620">
      <w:pPr>
        <w:spacing w:before="240"/>
        <w:jc w:val="both"/>
        <w:rPr>
          <w:rFonts w:eastAsia="Calibri"/>
          <w:szCs w:val="24"/>
        </w:rPr>
      </w:pPr>
      <w:r>
        <w:rPr>
          <w:rFonts w:eastAsia="Calibri"/>
          <w:szCs w:val="24"/>
        </w:rPr>
        <w:t xml:space="preserve">This has been the issue for some multi-nationals. Recently, corporations such as GlaxoSmithKline, Procter &amp; Gamble and Sanofi have reduced some of their operations or changed the nature of their presence in Nigeria. The circumstances of each of these enterprises differed, but common elements typically highlighted in conjunction with these developments were foreign exchange issues, rising inflation, growing production costs and greater macroeconomic instability. </w:t>
      </w:r>
    </w:p>
    <w:p w14:paraId="430AC276">
      <w:pPr>
        <w:spacing w:before="240"/>
        <w:jc w:val="both"/>
        <w:rPr>
          <w:rFonts w:eastAsia="Calibri"/>
          <w:szCs w:val="24"/>
        </w:rPr>
      </w:pPr>
      <w:r>
        <w:rPr>
          <w:rFonts w:eastAsia="Calibri"/>
          <w:szCs w:val="24"/>
        </w:rPr>
        <w:t>Strategic direction is compromised in terms of SGDAF if priorities are not sufficiently stable to be institutionalised. The answer is not rigid ideology but disciplined flexibility, clear strategic goals, but the readiness to modify based on data as the facts evolve.</w:t>
      </w:r>
    </w:p>
    <w:p w14:paraId="0ED3027C">
      <w:pPr>
        <w:spacing w:before="240"/>
        <w:jc w:val="both"/>
        <w:rPr>
          <w:rFonts w:eastAsia="Calibri"/>
          <w:b/>
          <w:bCs/>
          <w:szCs w:val="24"/>
        </w:rPr>
      </w:pPr>
      <w:r>
        <w:rPr>
          <w:rFonts w:eastAsia="Calibri"/>
          <w:szCs w:val="24"/>
        </w:rPr>
        <w:t xml:space="preserve"> </w:t>
      </w:r>
      <w:r>
        <w:rPr>
          <w:rFonts w:eastAsia="Calibri"/>
          <w:szCs w:val="24"/>
        </w:rPr>
        <w:br w:type="textWrapping"/>
      </w:r>
      <w:r>
        <w:rPr>
          <w:rFonts w:eastAsia="Calibri"/>
          <w:b/>
          <w:bCs/>
          <w:szCs w:val="24"/>
        </w:rPr>
        <w:t xml:space="preserve">5.2 Poor infrastructure </w:t>
      </w:r>
    </w:p>
    <w:p w14:paraId="50130BD0">
      <w:pPr>
        <w:spacing w:before="240"/>
        <w:jc w:val="both"/>
        <w:rPr>
          <w:rFonts w:eastAsia="Calibri"/>
          <w:szCs w:val="24"/>
        </w:rPr>
      </w:pPr>
      <w:r>
        <w:rPr>
          <w:rFonts w:eastAsia="Calibri"/>
          <w:szCs w:val="24"/>
        </w:rPr>
        <w:t>The lifeblood of productive economies is infrastructure. Firms can operate efficiently, and compete through domestic and international markets, because of good electricity, efficient transport, modern ports, good telecommunications and reliable public services. In spite of substantial investment over the last few years, Nigeria remains with enormous infrastructure gaps. Many places in the country suffer from erratic power supply that makes it largely dependent on generating power on its own, which comes at a high cost for the firms. The poor road network leads to increased cost of transportation, delay in movement of goods and decline in supply chain efficiency. Port congestion may also cause delays in the transportation of imported raw materials and exported products, increasing the transaction costs of manufacturers and dealers. The combination of these problems contributes to the reduction in productivity, rising production costs and competitiveness. The impact is mostly on the smaller and medium sized enterprises as they typically have limited funding to afford the extra expenditure associated with an inadequate infrastructure.</w:t>
      </w:r>
    </w:p>
    <w:p w14:paraId="05B91052">
      <w:pPr>
        <w:spacing w:before="240"/>
        <w:jc w:val="both"/>
        <w:rPr>
          <w:rFonts w:eastAsia="Calibri"/>
          <w:szCs w:val="24"/>
        </w:rPr>
      </w:pPr>
      <w:r>
        <w:rPr>
          <w:rFonts w:eastAsia="Calibri"/>
          <w:szCs w:val="24"/>
        </w:rPr>
        <w:t>As an unnecessary constraint on productive activity, making businesses provide their own energy, water, security and other services places an unnecessary burden on productive activity. Key resources that might otherwise have been directed towards expansion, innovation and jobs are being directed to chips in the broader operating environment.</w:t>
      </w:r>
    </w:p>
    <w:p w14:paraId="27B3C087">
      <w:pPr>
        <w:spacing w:before="240"/>
        <w:jc w:val="both"/>
        <w:rPr>
          <w:rFonts w:eastAsia="Calibri"/>
          <w:szCs w:val="24"/>
        </w:rPr>
      </w:pPr>
      <w:r>
        <w:rPr>
          <w:rFonts w:eastAsia="Calibri"/>
          <w:szCs w:val="24"/>
        </w:rPr>
        <w:t xml:space="preserve">Security is a must for development. Where lives and property are reasonably safe, and investors, workers and communities may go about their business without abiding fear, economic activity is vigorous. Nigeria has had its fair share of security challenges such as terrorism, banditry, farmer-herder conflict, kidnapping, oil theft, piracy and sectarian violence. Such problems have been affecting the economy in a number of parts of the country, and had a negative impact on investment and business costs. </w:t>
      </w:r>
    </w:p>
    <w:p w14:paraId="35EDD15C">
      <w:pPr>
        <w:spacing w:before="240"/>
        <w:jc w:val="both"/>
        <w:rPr>
          <w:rFonts w:eastAsia="Calibri"/>
          <w:szCs w:val="24"/>
        </w:rPr>
      </w:pPr>
      <w:r>
        <w:rPr>
          <w:rFonts w:eastAsia="Calibri"/>
          <w:szCs w:val="24"/>
        </w:rPr>
        <w:t>Farms have been really disadvantaged. In other areas farmers have walked away from productive fields because of their lack of safety. The decline in agricultural activity may impact food production and food prices, putting additional strain on the livelihoods of households.</w:t>
      </w:r>
    </w:p>
    <w:p w14:paraId="7F8599D9">
      <w:pPr>
        <w:spacing w:before="240"/>
        <w:jc w:val="both"/>
        <w:rPr>
          <w:rFonts w:eastAsia="Calibri"/>
          <w:b/>
          <w:bCs/>
          <w:szCs w:val="24"/>
        </w:rPr>
      </w:pPr>
      <w:r>
        <w:rPr>
          <w:rFonts w:eastAsia="Calibri"/>
          <w:b/>
          <w:bCs/>
          <w:szCs w:val="24"/>
        </w:rPr>
        <w:t xml:space="preserve">5.3 Universities: Capacity, Brain Drain, and Weak Linkages </w:t>
      </w:r>
    </w:p>
    <w:p w14:paraId="436C1B75">
      <w:pPr>
        <w:spacing w:before="240"/>
        <w:jc w:val="both"/>
        <w:rPr>
          <w:rFonts w:eastAsia="Calibri"/>
          <w:szCs w:val="24"/>
        </w:rPr>
      </w:pPr>
      <w:r>
        <w:rPr>
          <w:rFonts w:eastAsia="Calibri"/>
          <w:szCs w:val="24"/>
        </w:rPr>
        <w:t xml:space="preserve">The university system demonstrates why institutional capability is more than funding. Research needs laboratories, skilled personnel, stable administration, data, incentives, networks and road to application. The brain drain results in a loss of accumulated human capital, weak university–industry links reduce the diffusion of knowledge, and ageing infrastructure increases the cost of teaching and research. These are related mechanisms but can be distinguished empirically. </w:t>
      </w:r>
    </w:p>
    <w:p w14:paraId="25663AA3">
      <w:pPr>
        <w:spacing w:before="240"/>
        <w:jc w:val="both"/>
        <w:rPr>
          <w:rFonts w:eastAsia="Calibri"/>
          <w:szCs w:val="24"/>
        </w:rPr>
      </w:pPr>
      <w:r>
        <w:rPr>
          <w:rFonts w:eastAsia="Calibri"/>
          <w:szCs w:val="24"/>
        </w:rPr>
        <w:t>The university is thus a particularly useful test case for SGDAF because all five dimensions converge there: strategic direction via institutional mission; governance via accountability and leadership; capability via people and infrastructure; stakeholder value via government-industry-community relationships; and sustainability via long-term financing, maintenance and renewal of knowledge.</w:t>
      </w:r>
    </w:p>
    <w:p w14:paraId="5DE43E9A">
      <w:pPr>
        <w:pStyle w:val="2"/>
        <w:jc w:val="both"/>
        <w:rPr>
          <w:rFonts w:ascii="Times New Roman" w:hAnsi="Times New Roman" w:eastAsia="SimSun" w:cs="Times New Roman"/>
          <w:b w:val="0"/>
          <w:color w:val="auto"/>
          <w:kern w:val="36"/>
          <w:sz w:val="24"/>
          <w:szCs w:val="24"/>
        </w:rPr>
      </w:pPr>
      <w:r>
        <w:rPr>
          <w:rFonts w:ascii="Times New Roman" w:hAnsi="Times New Roman" w:cs="Times New Roman"/>
          <w:bCs w:val="0"/>
          <w:color w:val="auto"/>
          <w:kern w:val="36"/>
          <w:sz w:val="24"/>
          <w:szCs w:val="24"/>
        </w:rPr>
        <w:t>6. DEVELOPMENT OUTCOMES AND THE SGDAF MONITORING ARCHITECTURE</w:t>
      </w:r>
    </w:p>
    <w:p w14:paraId="18428D6A">
      <w:pPr>
        <w:spacing w:before="240"/>
        <w:jc w:val="both"/>
        <w:rPr>
          <w:rFonts w:eastAsia="Calibri"/>
          <w:szCs w:val="24"/>
        </w:rPr>
      </w:pPr>
      <w:r>
        <w:rPr>
          <w:rFonts w:eastAsia="Calibri"/>
          <w:szCs w:val="24"/>
        </w:rPr>
        <w:t xml:space="preserve">The problem of poor governance is not just theoretical; it is felt in the daily lives of Nigerians. These are visible in citizens’ daily lives, and measurable by various indicators. Unemployment, poverty, human development, food security, migration, insecurity, corruption, infrastructure, investment and quality of public institutions are useful sources of evidence to assess the effectiveness of governance and its implications for national development. The significance of these indicators lies in the fact that governance, ultimately, is about results. Governments cannot just announce policies, institutions, and programs. A better question is: do those actions make life better for citizens? Are these good jobs? Do they combat poverty? Are they making us safer, better educated, healthier and better off? Are they creating institutions, and creating an environment that business wants to invest, innovate and grow in? More concretely, metrics are the bridge between governance as an idea and governance as an experienced reality. </w:t>
      </w:r>
    </w:p>
    <w:p w14:paraId="4C37CB76">
      <w:pPr>
        <w:spacing w:before="240"/>
        <w:jc w:val="both"/>
        <w:rPr>
          <w:rFonts w:eastAsia="Calibri"/>
          <w:b/>
          <w:bCs/>
          <w:szCs w:val="24"/>
        </w:rPr>
      </w:pPr>
      <w:r>
        <w:rPr>
          <w:rFonts w:eastAsia="Calibri"/>
          <w:b/>
          <w:bCs/>
          <w:szCs w:val="24"/>
        </w:rPr>
        <w:t xml:space="preserve">6.1 Unemployment Rate </w:t>
      </w:r>
    </w:p>
    <w:p w14:paraId="1385514D">
      <w:pPr>
        <w:spacing w:before="240"/>
        <w:jc w:val="both"/>
        <w:rPr>
          <w:rFonts w:eastAsia="Calibri"/>
          <w:szCs w:val="24"/>
        </w:rPr>
      </w:pPr>
      <w:r>
        <w:rPr>
          <w:rFonts w:eastAsia="Calibri"/>
          <w:szCs w:val="24"/>
        </w:rPr>
        <w:t>Employment is a critical concrete measure of an economy’s ability to generate opportunities and improve livelihoods. The country’s unemployment rate in the second quarter of 2024 was 4.3% after it rebased its labour-force statistics, the National Bureau of Statistics (NBS) said. It might be impressive if you take it out of context. But the labour market is more complicated than that. Underemployment affected 13.7 per cent of the employed population and youth unemployment and other forms of labour underutilisation remained significant. Employment in the informal sector is also significant and with relatively low productivity, earnings and job security (National Bureau of Statistics, 2024). The question is not just how many are counted as employed but what kind of employment they have. The trick is not to move people from unemployment to low productivity activities. You can't deliver sustainable development that way. What Nigeria needs is meaningful employment with decent income, skills development, innovation and a measure of security and dignity.</w:t>
      </w:r>
    </w:p>
    <w:p w14:paraId="7C8CABDE">
      <w:pPr>
        <w:pStyle w:val="4"/>
        <w:jc w:val="both"/>
        <w:rPr>
          <w:rStyle w:val="24"/>
          <w:rFonts w:ascii="Times New Roman" w:hAnsi="Times New Roman" w:eastAsia="SimSun" w:cs="Times New Roman"/>
        </w:rPr>
      </w:pPr>
      <w:r>
        <w:rPr>
          <w:rFonts w:ascii="Times New Roman" w:hAnsi="Times New Roman"/>
          <w:b/>
          <w:bCs/>
        </w:rPr>
        <w:t>Key Performance Indicators</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90"/>
        <w:gridCol w:w="238"/>
        <w:gridCol w:w="237"/>
        <w:gridCol w:w="1471"/>
        <w:gridCol w:w="3006"/>
      </w:tblGrid>
      <w:tr w14:paraId="23D62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5" w:type="dxa"/>
            <w:tcBorders>
              <w:top w:val="single" w:color="auto" w:sz="4" w:space="0"/>
              <w:left w:val="single" w:color="auto" w:sz="4" w:space="0"/>
              <w:bottom w:val="single" w:color="auto" w:sz="4" w:space="0"/>
              <w:right w:val="single" w:color="auto" w:sz="4" w:space="0"/>
            </w:tcBorders>
          </w:tcPr>
          <w:p w14:paraId="3BAA6CFE">
            <w:pPr>
              <w:spacing w:after="0"/>
              <w:jc w:val="both"/>
            </w:pPr>
            <w:r>
              <w:rPr>
                <w:szCs w:val="24"/>
              </w:rPr>
              <w:t>Indicator</w:t>
            </w:r>
          </w:p>
        </w:tc>
        <w:tc>
          <w:tcPr>
            <w:tcW w:w="3005" w:type="dxa"/>
            <w:gridSpan w:val="3"/>
            <w:tcBorders>
              <w:top w:val="single" w:color="auto" w:sz="4" w:space="0"/>
              <w:left w:val="single" w:color="auto" w:sz="4" w:space="0"/>
              <w:bottom w:val="single" w:color="auto" w:sz="4" w:space="0"/>
              <w:right w:val="single" w:color="auto" w:sz="4" w:space="0"/>
            </w:tcBorders>
          </w:tcPr>
          <w:p w14:paraId="1424242B">
            <w:pPr>
              <w:spacing w:after="0"/>
              <w:jc w:val="both"/>
              <w:rPr>
                <w:szCs w:val="24"/>
              </w:rPr>
            </w:pPr>
            <w:r>
              <w:rPr>
                <w:szCs w:val="24"/>
              </w:rPr>
              <w:t>Latest Value</w:t>
            </w:r>
          </w:p>
        </w:tc>
        <w:tc>
          <w:tcPr>
            <w:tcW w:w="3006" w:type="dxa"/>
            <w:tcBorders>
              <w:top w:val="single" w:color="auto" w:sz="4" w:space="0"/>
              <w:left w:val="single" w:color="auto" w:sz="4" w:space="0"/>
              <w:bottom w:val="single" w:color="auto" w:sz="4" w:space="0"/>
              <w:right w:val="single" w:color="auto" w:sz="4" w:space="0"/>
            </w:tcBorders>
          </w:tcPr>
          <w:p w14:paraId="498C3B92">
            <w:pPr>
              <w:spacing w:after="0"/>
              <w:jc w:val="both"/>
              <w:rPr>
                <w:szCs w:val="24"/>
              </w:rPr>
            </w:pPr>
            <w:r>
              <w:rPr>
                <w:szCs w:val="24"/>
              </w:rPr>
              <w:t>Desired Benchmark</w:t>
            </w:r>
          </w:p>
        </w:tc>
      </w:tr>
      <w:tr w14:paraId="6B47C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5" w:type="dxa"/>
            <w:tcBorders>
              <w:top w:val="single" w:color="auto" w:sz="4" w:space="0"/>
              <w:left w:val="single" w:color="auto" w:sz="4" w:space="0"/>
              <w:bottom w:val="single" w:color="auto" w:sz="4" w:space="0"/>
              <w:right w:val="single" w:color="auto" w:sz="4" w:space="0"/>
            </w:tcBorders>
          </w:tcPr>
          <w:p w14:paraId="68CF7CE4">
            <w:pPr>
              <w:spacing w:after="0"/>
              <w:jc w:val="both"/>
              <w:rPr>
                <w:szCs w:val="24"/>
              </w:rPr>
            </w:pPr>
            <w:r>
              <w:rPr>
                <w:szCs w:val="24"/>
              </w:rPr>
              <w:t>Unemployment Rate</w:t>
            </w:r>
          </w:p>
        </w:tc>
        <w:tc>
          <w:tcPr>
            <w:tcW w:w="3005" w:type="dxa"/>
            <w:gridSpan w:val="3"/>
            <w:tcBorders>
              <w:top w:val="single" w:color="auto" w:sz="4" w:space="0"/>
              <w:left w:val="single" w:color="auto" w:sz="4" w:space="0"/>
              <w:bottom w:val="single" w:color="auto" w:sz="4" w:space="0"/>
              <w:right w:val="single" w:color="auto" w:sz="4" w:space="0"/>
            </w:tcBorders>
          </w:tcPr>
          <w:p w14:paraId="7AF737C7">
            <w:pPr>
              <w:spacing w:after="0"/>
              <w:jc w:val="both"/>
              <w:rPr>
                <w:szCs w:val="24"/>
              </w:rPr>
            </w:pPr>
            <w:r>
              <w:rPr>
                <w:szCs w:val="24"/>
              </w:rPr>
              <w:t xml:space="preserve">4.3% (Q2 2024) </w:t>
            </w:r>
          </w:p>
        </w:tc>
        <w:tc>
          <w:tcPr>
            <w:tcW w:w="3006" w:type="dxa"/>
            <w:tcBorders>
              <w:top w:val="single" w:color="auto" w:sz="4" w:space="0"/>
              <w:left w:val="single" w:color="auto" w:sz="4" w:space="0"/>
              <w:bottom w:val="single" w:color="auto" w:sz="4" w:space="0"/>
              <w:right w:val="single" w:color="auto" w:sz="4" w:space="0"/>
            </w:tcBorders>
          </w:tcPr>
          <w:p w14:paraId="7923BE48">
            <w:pPr>
              <w:spacing w:after="0"/>
              <w:jc w:val="both"/>
              <w:rPr>
                <w:szCs w:val="24"/>
              </w:rPr>
            </w:pPr>
            <w:r>
              <w:rPr>
                <w:szCs w:val="24"/>
              </w:rPr>
              <w:t>&lt;3% with high formal-sector employment</w:t>
            </w:r>
          </w:p>
        </w:tc>
      </w:tr>
      <w:tr w14:paraId="42382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5" w:type="dxa"/>
            <w:tcBorders>
              <w:top w:val="single" w:color="auto" w:sz="4" w:space="0"/>
              <w:left w:val="single" w:color="auto" w:sz="4" w:space="0"/>
              <w:bottom w:val="single" w:color="auto" w:sz="4" w:space="0"/>
              <w:right w:val="single" w:color="auto" w:sz="4" w:space="0"/>
            </w:tcBorders>
          </w:tcPr>
          <w:p w14:paraId="3C92B0DC">
            <w:pPr>
              <w:spacing w:after="0"/>
              <w:jc w:val="both"/>
              <w:rPr>
                <w:szCs w:val="24"/>
              </w:rPr>
            </w:pPr>
            <w:r>
              <w:rPr>
                <w:szCs w:val="24"/>
              </w:rPr>
              <w:t>Underemployment Rate</w:t>
            </w:r>
          </w:p>
        </w:tc>
        <w:tc>
          <w:tcPr>
            <w:tcW w:w="3005" w:type="dxa"/>
            <w:gridSpan w:val="3"/>
            <w:tcBorders>
              <w:top w:val="single" w:color="auto" w:sz="4" w:space="0"/>
              <w:left w:val="single" w:color="auto" w:sz="4" w:space="0"/>
              <w:bottom w:val="single" w:color="auto" w:sz="4" w:space="0"/>
              <w:right w:val="single" w:color="auto" w:sz="4" w:space="0"/>
            </w:tcBorders>
          </w:tcPr>
          <w:p w14:paraId="6297BDDD">
            <w:pPr>
              <w:spacing w:after="0"/>
              <w:jc w:val="both"/>
              <w:rPr>
                <w:szCs w:val="24"/>
              </w:rPr>
            </w:pPr>
            <w:r>
              <w:rPr>
                <w:szCs w:val="24"/>
              </w:rPr>
              <w:t>13.7%</w:t>
            </w:r>
          </w:p>
        </w:tc>
        <w:tc>
          <w:tcPr>
            <w:tcW w:w="3006" w:type="dxa"/>
            <w:tcBorders>
              <w:top w:val="single" w:color="auto" w:sz="4" w:space="0"/>
              <w:left w:val="single" w:color="auto" w:sz="4" w:space="0"/>
              <w:bottom w:val="single" w:color="auto" w:sz="4" w:space="0"/>
              <w:right w:val="single" w:color="auto" w:sz="4" w:space="0"/>
            </w:tcBorders>
          </w:tcPr>
          <w:p w14:paraId="725BAE3C">
            <w:pPr>
              <w:spacing w:after="0"/>
              <w:jc w:val="both"/>
              <w:rPr>
                <w:szCs w:val="24"/>
              </w:rPr>
            </w:pPr>
            <w:r>
              <w:rPr>
                <w:szCs w:val="24"/>
              </w:rPr>
              <w:t>&lt;5%</w:t>
            </w:r>
          </w:p>
        </w:tc>
      </w:tr>
      <w:tr w14:paraId="4A4AB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tcMar>
              <w:top w:w="15" w:type="dxa"/>
              <w:left w:w="15" w:type="dxa"/>
              <w:bottom w:w="15" w:type="dxa"/>
              <w:right w:w="15" w:type="dxa"/>
            </w:tcMar>
            <w:vAlign w:val="center"/>
          </w:tcPr>
          <w:p w14:paraId="7EBD11F0">
            <w:pPr>
              <w:jc w:val="both"/>
              <w:rPr>
                <w:rFonts w:eastAsia="Calibri"/>
                <w:szCs w:val="24"/>
              </w:rPr>
            </w:pPr>
            <w:r>
              <w:rPr>
                <w:rFonts w:eastAsia="Calibri"/>
                <w:szCs w:val="24"/>
              </w:rPr>
              <w:t>Source: National Bureau of Statistics (2024)</w:t>
            </w:r>
          </w:p>
        </w:tc>
        <w:tc>
          <w:tcPr>
            <w:tcW w:w="0" w:type="auto"/>
            <w:tcBorders>
              <w:top w:val="nil"/>
              <w:left w:val="nil"/>
              <w:bottom w:val="nil"/>
              <w:right w:val="nil"/>
            </w:tcBorders>
            <w:tcMar>
              <w:top w:w="15" w:type="dxa"/>
              <w:left w:w="15" w:type="dxa"/>
              <w:bottom w:w="15" w:type="dxa"/>
              <w:right w:w="15" w:type="dxa"/>
            </w:tcMar>
            <w:vAlign w:val="center"/>
          </w:tcPr>
          <w:p w14:paraId="36661495">
            <w:pPr>
              <w:jc w:val="both"/>
              <w:rPr>
                <w:rFonts w:eastAsia="Calibri"/>
                <w:szCs w:val="24"/>
              </w:rPr>
            </w:pPr>
          </w:p>
        </w:tc>
        <w:tc>
          <w:tcPr>
            <w:tcW w:w="0" w:type="auto"/>
            <w:tcBorders>
              <w:top w:val="nil"/>
              <w:left w:val="nil"/>
              <w:bottom w:val="nil"/>
              <w:right w:val="nil"/>
            </w:tcBorders>
            <w:tcMar>
              <w:top w:w="15" w:type="dxa"/>
              <w:left w:w="15" w:type="dxa"/>
              <w:bottom w:w="15" w:type="dxa"/>
              <w:right w:w="15" w:type="dxa"/>
            </w:tcMar>
            <w:vAlign w:val="center"/>
          </w:tcPr>
          <w:p w14:paraId="05305D4B">
            <w:pPr>
              <w:jc w:val="both"/>
              <w:rPr>
                <w:rFonts w:eastAsia="Calibri"/>
                <w:szCs w:val="24"/>
              </w:rPr>
            </w:pPr>
          </w:p>
        </w:tc>
        <w:tc>
          <w:tcPr>
            <w:tcW w:w="0" w:type="auto"/>
            <w:vAlign w:val="center"/>
          </w:tcPr>
          <w:p w14:paraId="2B77AC76">
            <w:pPr>
              <w:spacing w:after="0" w:line="240" w:lineRule="auto"/>
              <w:rPr>
                <w:rFonts w:eastAsia="Times New Roman"/>
                <w:sz w:val="20"/>
                <w:szCs w:val="20"/>
              </w:rPr>
            </w:pPr>
          </w:p>
        </w:tc>
        <w:tc>
          <w:tcPr>
            <w:tcW w:w="0" w:type="auto"/>
            <w:vAlign w:val="center"/>
          </w:tcPr>
          <w:p w14:paraId="291FF6C5">
            <w:pPr>
              <w:spacing w:after="0" w:line="240" w:lineRule="auto"/>
              <w:rPr>
                <w:rFonts w:eastAsia="Times New Roman"/>
                <w:sz w:val="20"/>
                <w:szCs w:val="20"/>
              </w:rPr>
            </w:pPr>
          </w:p>
        </w:tc>
      </w:tr>
    </w:tbl>
    <w:p w14:paraId="3053F053">
      <w:pPr>
        <w:spacing w:before="240"/>
        <w:jc w:val="both"/>
        <w:rPr>
          <w:rFonts w:eastAsia="Calibri"/>
          <w:b/>
          <w:bCs/>
          <w:szCs w:val="24"/>
        </w:rPr>
      </w:pPr>
      <w:r>
        <w:rPr>
          <w:rFonts w:eastAsia="Calibri"/>
          <w:b/>
          <w:bCs/>
          <w:szCs w:val="24"/>
        </w:rPr>
        <w:t xml:space="preserve">6.2 Low-income </w:t>
      </w:r>
    </w:p>
    <w:p w14:paraId="1F37756C">
      <w:pPr>
        <w:spacing w:before="240"/>
        <w:jc w:val="both"/>
        <w:rPr>
          <w:rFonts w:eastAsia="Calibri"/>
          <w:szCs w:val="24"/>
        </w:rPr>
      </w:pPr>
      <w:r>
        <w:rPr>
          <w:rFonts w:eastAsia="Calibri"/>
          <w:szCs w:val="24"/>
        </w:rPr>
        <w:t>Poverty is probably the most visible measure of the human cost of bad governance. Poverty affects nearly every aspect of human life, from access to education and healthcare to adequate housing, sanitation, nutrition and other necessities. The National Bureau of Statistics’ Multidimensional Poverty Index estimated some 63% of Nigerians, or some 133 million people, were living in broader poverty. These deprivations are not only income but also education, health care, sanitation, housing, nutrition and other living standards (NBS, 2022). Inflation and economic adjustment have also impacted on household welfare. The purchasing power of the income of many Nigerians has declined, despite a slow economic growth (The World Bank 2024). “Poverty of this scale raises fundamental questions about the effectiveness of national development strategies. Development is not sufficiently evidenced by economic growth that does not result in improvements in household welfare.</w:t>
      </w:r>
    </w:p>
    <w:p w14:paraId="2DA07ED6">
      <w:pPr>
        <w:pStyle w:val="3"/>
        <w:jc w:val="both"/>
        <w:rPr>
          <w:rStyle w:val="24"/>
          <w:rFonts w:ascii="Times New Roman" w:hAnsi="Times New Roman" w:eastAsia="Times New Roman" w:cs="Times New Roman"/>
          <w:b w:val="0"/>
          <w:bCs w:val="0"/>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Key Performance Indicators</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05"/>
        <w:gridCol w:w="3005"/>
        <w:gridCol w:w="3006"/>
      </w:tblGrid>
      <w:tr w14:paraId="2994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5" w:type="dxa"/>
            <w:tcBorders>
              <w:top w:val="single" w:color="auto" w:sz="4" w:space="0"/>
              <w:left w:val="single" w:color="auto" w:sz="4" w:space="0"/>
              <w:bottom w:val="single" w:color="auto" w:sz="4" w:space="0"/>
              <w:right w:val="single" w:color="auto" w:sz="4" w:space="0"/>
            </w:tcBorders>
          </w:tcPr>
          <w:p w14:paraId="012E9FFA">
            <w:pPr>
              <w:spacing w:after="0"/>
              <w:jc w:val="both"/>
              <w:rPr>
                <w:szCs w:val="24"/>
              </w:rPr>
            </w:pPr>
            <w:r>
              <w:rPr>
                <w:szCs w:val="24"/>
              </w:rPr>
              <w:t>Indicator</w:t>
            </w:r>
          </w:p>
        </w:tc>
        <w:tc>
          <w:tcPr>
            <w:tcW w:w="3005" w:type="dxa"/>
            <w:tcBorders>
              <w:top w:val="single" w:color="auto" w:sz="4" w:space="0"/>
              <w:left w:val="single" w:color="auto" w:sz="4" w:space="0"/>
              <w:bottom w:val="single" w:color="auto" w:sz="4" w:space="0"/>
              <w:right w:val="single" w:color="auto" w:sz="4" w:space="0"/>
            </w:tcBorders>
          </w:tcPr>
          <w:p w14:paraId="74BBF130">
            <w:pPr>
              <w:spacing w:after="0"/>
              <w:jc w:val="both"/>
              <w:rPr>
                <w:szCs w:val="24"/>
              </w:rPr>
            </w:pPr>
            <w:r>
              <w:rPr>
                <w:szCs w:val="24"/>
              </w:rPr>
              <w:t>Latest Value</w:t>
            </w:r>
          </w:p>
        </w:tc>
        <w:tc>
          <w:tcPr>
            <w:tcW w:w="3006" w:type="dxa"/>
            <w:tcBorders>
              <w:top w:val="single" w:color="auto" w:sz="4" w:space="0"/>
              <w:left w:val="single" w:color="auto" w:sz="4" w:space="0"/>
              <w:bottom w:val="single" w:color="auto" w:sz="4" w:space="0"/>
              <w:right w:val="single" w:color="auto" w:sz="4" w:space="0"/>
            </w:tcBorders>
          </w:tcPr>
          <w:p w14:paraId="6920C78E">
            <w:pPr>
              <w:spacing w:after="0"/>
              <w:jc w:val="both"/>
              <w:rPr>
                <w:szCs w:val="24"/>
              </w:rPr>
            </w:pPr>
            <w:r>
              <w:rPr>
                <w:szCs w:val="24"/>
              </w:rPr>
              <w:t>Target</w:t>
            </w:r>
          </w:p>
        </w:tc>
      </w:tr>
      <w:tr w14:paraId="186F8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5" w:type="dxa"/>
            <w:tcBorders>
              <w:top w:val="single" w:color="auto" w:sz="4" w:space="0"/>
              <w:left w:val="single" w:color="auto" w:sz="4" w:space="0"/>
              <w:bottom w:val="single" w:color="auto" w:sz="4" w:space="0"/>
              <w:right w:val="single" w:color="auto" w:sz="4" w:space="0"/>
            </w:tcBorders>
          </w:tcPr>
          <w:p w14:paraId="421B34B6">
            <w:pPr>
              <w:spacing w:after="0"/>
              <w:jc w:val="both"/>
              <w:rPr>
                <w:szCs w:val="24"/>
              </w:rPr>
            </w:pPr>
            <w:r>
              <w:rPr>
                <w:szCs w:val="24"/>
              </w:rPr>
              <w:t>Multidimensional Poverty</w:t>
            </w:r>
          </w:p>
        </w:tc>
        <w:tc>
          <w:tcPr>
            <w:tcW w:w="3005" w:type="dxa"/>
            <w:tcBorders>
              <w:top w:val="single" w:color="auto" w:sz="4" w:space="0"/>
              <w:left w:val="single" w:color="auto" w:sz="4" w:space="0"/>
              <w:bottom w:val="single" w:color="auto" w:sz="4" w:space="0"/>
              <w:right w:val="single" w:color="auto" w:sz="4" w:space="0"/>
            </w:tcBorders>
          </w:tcPr>
          <w:p w14:paraId="28C21019">
            <w:pPr>
              <w:spacing w:after="0"/>
              <w:jc w:val="both"/>
              <w:rPr>
                <w:szCs w:val="24"/>
              </w:rPr>
            </w:pPr>
            <w:r>
              <w:rPr>
                <w:szCs w:val="24"/>
              </w:rPr>
              <w:t>63%</w:t>
            </w:r>
          </w:p>
        </w:tc>
        <w:tc>
          <w:tcPr>
            <w:tcW w:w="3006" w:type="dxa"/>
            <w:tcBorders>
              <w:top w:val="single" w:color="auto" w:sz="4" w:space="0"/>
              <w:left w:val="single" w:color="auto" w:sz="4" w:space="0"/>
              <w:bottom w:val="single" w:color="auto" w:sz="4" w:space="0"/>
              <w:right w:val="single" w:color="auto" w:sz="4" w:space="0"/>
            </w:tcBorders>
          </w:tcPr>
          <w:p w14:paraId="37F04ABA">
            <w:pPr>
              <w:spacing w:after="0"/>
              <w:jc w:val="both"/>
              <w:rPr>
                <w:szCs w:val="24"/>
              </w:rPr>
            </w:pPr>
            <w:r>
              <w:rPr>
                <w:szCs w:val="24"/>
              </w:rPr>
              <w:t>SGD Goal 1: End Poverty</w:t>
            </w:r>
          </w:p>
        </w:tc>
      </w:tr>
      <w:tr w14:paraId="77671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5" w:type="dxa"/>
            <w:tcBorders>
              <w:top w:val="single" w:color="auto" w:sz="4" w:space="0"/>
              <w:left w:val="single" w:color="auto" w:sz="4" w:space="0"/>
              <w:bottom w:val="single" w:color="auto" w:sz="4" w:space="0"/>
              <w:right w:val="single" w:color="auto" w:sz="4" w:space="0"/>
            </w:tcBorders>
          </w:tcPr>
          <w:p w14:paraId="0A48783D">
            <w:pPr>
              <w:spacing w:after="0"/>
              <w:jc w:val="both"/>
              <w:rPr>
                <w:szCs w:val="24"/>
              </w:rPr>
            </w:pPr>
            <w:r>
              <w:rPr>
                <w:szCs w:val="24"/>
              </w:rPr>
              <w:t>Nigerians Living in MPI Poverty</w:t>
            </w:r>
          </w:p>
        </w:tc>
        <w:tc>
          <w:tcPr>
            <w:tcW w:w="3005" w:type="dxa"/>
            <w:tcBorders>
              <w:top w:val="single" w:color="auto" w:sz="4" w:space="0"/>
              <w:left w:val="single" w:color="auto" w:sz="4" w:space="0"/>
              <w:bottom w:val="single" w:color="auto" w:sz="4" w:space="0"/>
              <w:right w:val="single" w:color="auto" w:sz="4" w:space="0"/>
            </w:tcBorders>
          </w:tcPr>
          <w:p w14:paraId="1939667F">
            <w:pPr>
              <w:spacing w:after="0"/>
              <w:jc w:val="both"/>
              <w:rPr>
                <w:szCs w:val="24"/>
              </w:rPr>
            </w:pPr>
            <w:r>
              <w:rPr>
                <w:szCs w:val="24"/>
              </w:rPr>
              <w:t>133 million</w:t>
            </w:r>
          </w:p>
        </w:tc>
        <w:tc>
          <w:tcPr>
            <w:tcW w:w="3006" w:type="dxa"/>
            <w:tcBorders>
              <w:top w:val="single" w:color="auto" w:sz="4" w:space="0"/>
              <w:left w:val="single" w:color="auto" w:sz="4" w:space="0"/>
              <w:bottom w:val="single" w:color="auto" w:sz="4" w:space="0"/>
              <w:right w:val="single" w:color="auto" w:sz="4" w:space="0"/>
            </w:tcBorders>
          </w:tcPr>
          <w:p w14:paraId="4A1DE1AA">
            <w:pPr>
              <w:spacing w:after="0"/>
              <w:jc w:val="both"/>
              <w:rPr>
                <w:szCs w:val="24"/>
              </w:rPr>
            </w:pPr>
            <w:r>
              <w:rPr>
                <w:szCs w:val="24"/>
              </w:rPr>
              <w:t xml:space="preserve">Continuous reduction </w:t>
            </w:r>
          </w:p>
        </w:tc>
      </w:tr>
    </w:tbl>
    <w:p w14:paraId="487E890C">
      <w:pPr>
        <w:jc w:val="both"/>
        <w:rPr>
          <w:rFonts w:eastAsia="Calibri"/>
          <w:i/>
          <w:iCs/>
          <w:szCs w:val="24"/>
        </w:rPr>
      </w:pPr>
      <w:r>
        <w:rPr>
          <w:rFonts w:eastAsia="Calibri"/>
          <w:szCs w:val="24"/>
        </w:rPr>
        <w:t>Sources: National Bureau of Statistics (2022); World Bank (2024)</w:t>
      </w:r>
    </w:p>
    <w:p w14:paraId="395C64E8">
      <w:pPr>
        <w:spacing w:before="240"/>
        <w:jc w:val="both"/>
        <w:rPr>
          <w:rFonts w:eastAsia="Calibri"/>
          <w:b/>
          <w:bCs/>
          <w:szCs w:val="24"/>
        </w:rPr>
      </w:pPr>
      <w:r>
        <w:rPr>
          <w:rFonts w:eastAsia="Calibri"/>
          <w:b/>
          <w:bCs/>
          <w:szCs w:val="24"/>
        </w:rPr>
        <w:t xml:space="preserve">6.3 Human Development Index (HDI) </w:t>
      </w:r>
    </w:p>
    <w:p w14:paraId="2897E010">
      <w:pPr>
        <w:spacing w:before="240"/>
        <w:jc w:val="both"/>
        <w:rPr>
          <w:rFonts w:eastAsia="Calibri"/>
          <w:szCs w:val="24"/>
        </w:rPr>
      </w:pPr>
      <w:r>
        <w:rPr>
          <w:rFonts w:eastAsia="Calibri"/>
          <w:szCs w:val="24"/>
        </w:rPr>
        <w:t>Economic growth alone does not tell the whole story of a nation’s development. A country can register an increase in its gross domestic product while its large sections of population still suffer from lack of education, poor health care and low standards of living. The Human Development Index therefore provides a more comprehensive picture, combining three basic dimensions of human well-being.</w:t>
      </w:r>
    </w:p>
    <w:p w14:paraId="657BA019">
      <w:pPr>
        <w:spacing w:before="240"/>
        <w:jc w:val="both"/>
        <w:rPr>
          <w:rFonts w:eastAsia="Calibri"/>
          <w:szCs w:val="24"/>
        </w:rPr>
      </w:pPr>
      <w:r>
        <w:rPr>
          <w:rFonts w:eastAsia="Calibri"/>
          <w:szCs w:val="24"/>
        </w:rPr>
        <w:t xml:space="preserve">i. Life expectancy, ii. Education, iii. Income </w:t>
      </w:r>
    </w:p>
    <w:p w14:paraId="52B9DA90">
      <w:pPr>
        <w:spacing w:before="240"/>
        <w:jc w:val="both"/>
        <w:rPr>
          <w:rFonts w:eastAsia="Calibri"/>
          <w:szCs w:val="24"/>
        </w:rPr>
      </w:pPr>
      <w:r>
        <w:rPr>
          <w:rFonts w:eastAsia="Calibri"/>
          <w:szCs w:val="24"/>
        </w:rPr>
        <w:t>However, Nigeria’s human development performance is still relatively low by international standards. The 2023/2024 Human Development Report placed Nigeria’s HDI at 0.548, which falls within the Low Human Development category (UNDP, 2024). The point is simple. The size of an economy, its natural resources or its population do not automatically translate into a better quality of life. What counts is the degree to which national resources and institutions are turned into capabilities and opportunities for citizens.</w:t>
      </w:r>
    </w:p>
    <w:p w14:paraId="3F02AD57">
      <w:pPr>
        <w:pStyle w:val="4"/>
        <w:jc w:val="both"/>
        <w:rPr>
          <w:rStyle w:val="24"/>
          <w:rFonts w:ascii="Times New Roman" w:hAnsi="Times New Roman" w:eastAsia="SimSun" w:cs="Times New Roman"/>
        </w:rPr>
      </w:pPr>
      <w:r>
        <w:rPr>
          <w:rFonts w:ascii="Times New Roman" w:hAnsi="Times New Roman"/>
          <w:b/>
          <w:bCs/>
        </w:rPr>
        <w:t>Key Performance Indicator</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05"/>
        <w:gridCol w:w="3005"/>
        <w:gridCol w:w="3006"/>
      </w:tblGrid>
      <w:tr w14:paraId="6EDCD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5" w:type="dxa"/>
            <w:tcBorders>
              <w:top w:val="single" w:color="auto" w:sz="4" w:space="0"/>
              <w:left w:val="single" w:color="auto" w:sz="4" w:space="0"/>
              <w:bottom w:val="single" w:color="auto" w:sz="4" w:space="0"/>
              <w:right w:val="single" w:color="auto" w:sz="4" w:space="0"/>
            </w:tcBorders>
          </w:tcPr>
          <w:p w14:paraId="64C0B314">
            <w:pPr>
              <w:spacing w:after="0"/>
              <w:jc w:val="both"/>
            </w:pPr>
            <w:r>
              <w:rPr>
                <w:szCs w:val="24"/>
              </w:rPr>
              <w:t>Indicator</w:t>
            </w:r>
          </w:p>
        </w:tc>
        <w:tc>
          <w:tcPr>
            <w:tcW w:w="3005" w:type="dxa"/>
            <w:tcBorders>
              <w:top w:val="single" w:color="auto" w:sz="4" w:space="0"/>
              <w:left w:val="single" w:color="auto" w:sz="4" w:space="0"/>
              <w:bottom w:val="single" w:color="auto" w:sz="4" w:space="0"/>
              <w:right w:val="single" w:color="auto" w:sz="4" w:space="0"/>
            </w:tcBorders>
          </w:tcPr>
          <w:p w14:paraId="4FA2E340">
            <w:pPr>
              <w:spacing w:after="0"/>
              <w:jc w:val="both"/>
              <w:rPr>
                <w:szCs w:val="24"/>
              </w:rPr>
            </w:pPr>
            <w:r>
              <w:rPr>
                <w:szCs w:val="24"/>
              </w:rPr>
              <w:t>Latest Value</w:t>
            </w:r>
          </w:p>
        </w:tc>
        <w:tc>
          <w:tcPr>
            <w:tcW w:w="3006" w:type="dxa"/>
            <w:tcBorders>
              <w:top w:val="single" w:color="auto" w:sz="4" w:space="0"/>
              <w:left w:val="single" w:color="auto" w:sz="4" w:space="0"/>
              <w:bottom w:val="single" w:color="auto" w:sz="4" w:space="0"/>
              <w:right w:val="single" w:color="auto" w:sz="4" w:space="0"/>
            </w:tcBorders>
          </w:tcPr>
          <w:p w14:paraId="36F4F80D">
            <w:pPr>
              <w:spacing w:after="0"/>
              <w:jc w:val="both"/>
              <w:rPr>
                <w:szCs w:val="24"/>
              </w:rPr>
            </w:pPr>
            <w:r>
              <w:rPr>
                <w:szCs w:val="24"/>
              </w:rPr>
              <w:t>Benchmark</w:t>
            </w:r>
          </w:p>
        </w:tc>
      </w:tr>
      <w:tr w14:paraId="48CC3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5" w:type="dxa"/>
            <w:tcBorders>
              <w:top w:val="single" w:color="auto" w:sz="4" w:space="0"/>
              <w:left w:val="single" w:color="auto" w:sz="4" w:space="0"/>
              <w:bottom w:val="single" w:color="auto" w:sz="4" w:space="0"/>
              <w:right w:val="single" w:color="auto" w:sz="4" w:space="0"/>
            </w:tcBorders>
          </w:tcPr>
          <w:p w14:paraId="2836DCA5">
            <w:pPr>
              <w:spacing w:after="0"/>
              <w:jc w:val="both"/>
              <w:rPr>
                <w:szCs w:val="24"/>
              </w:rPr>
            </w:pPr>
            <w:r>
              <w:rPr>
                <w:szCs w:val="24"/>
              </w:rPr>
              <w:t>Human Development Index</w:t>
            </w:r>
          </w:p>
        </w:tc>
        <w:tc>
          <w:tcPr>
            <w:tcW w:w="3005" w:type="dxa"/>
            <w:tcBorders>
              <w:top w:val="single" w:color="auto" w:sz="4" w:space="0"/>
              <w:left w:val="single" w:color="auto" w:sz="4" w:space="0"/>
              <w:bottom w:val="single" w:color="auto" w:sz="4" w:space="0"/>
              <w:right w:val="single" w:color="auto" w:sz="4" w:space="0"/>
            </w:tcBorders>
          </w:tcPr>
          <w:p w14:paraId="5BBB7763">
            <w:pPr>
              <w:spacing w:after="0"/>
              <w:jc w:val="both"/>
              <w:rPr>
                <w:szCs w:val="24"/>
              </w:rPr>
            </w:pPr>
            <w:r>
              <w:rPr>
                <w:szCs w:val="24"/>
              </w:rPr>
              <w:t>0.548</w:t>
            </w:r>
          </w:p>
        </w:tc>
        <w:tc>
          <w:tcPr>
            <w:tcW w:w="3006" w:type="dxa"/>
            <w:tcBorders>
              <w:top w:val="single" w:color="auto" w:sz="4" w:space="0"/>
              <w:left w:val="single" w:color="auto" w:sz="4" w:space="0"/>
              <w:bottom w:val="single" w:color="auto" w:sz="4" w:space="0"/>
              <w:right w:val="single" w:color="auto" w:sz="4" w:space="0"/>
            </w:tcBorders>
          </w:tcPr>
          <w:p w14:paraId="41DFFBD0">
            <w:pPr>
              <w:spacing w:after="0"/>
              <w:jc w:val="both"/>
              <w:rPr>
                <w:szCs w:val="24"/>
              </w:rPr>
            </w:pPr>
            <w:r>
              <w:rPr>
                <w:szCs w:val="24"/>
              </w:rPr>
              <w:t>&gt; 0.800</w:t>
            </w:r>
          </w:p>
        </w:tc>
      </w:tr>
    </w:tbl>
    <w:p w14:paraId="5D1FE3CC">
      <w:pPr>
        <w:jc w:val="both"/>
        <w:rPr>
          <w:rFonts w:eastAsia="Calibri"/>
          <w:i/>
          <w:iCs/>
          <w:szCs w:val="24"/>
        </w:rPr>
      </w:pPr>
      <w:r>
        <w:rPr>
          <w:rFonts w:eastAsia="Calibri"/>
          <w:szCs w:val="24"/>
        </w:rPr>
        <w:t>Source: UNDP (2024)</w:t>
      </w:r>
    </w:p>
    <w:p w14:paraId="2B72DFA7">
      <w:pPr>
        <w:spacing w:before="240"/>
        <w:jc w:val="both"/>
        <w:rPr>
          <w:rFonts w:eastAsia="Calibri"/>
          <w:b/>
          <w:bCs/>
          <w:szCs w:val="24"/>
        </w:rPr>
      </w:pPr>
      <w:r>
        <w:rPr>
          <w:rFonts w:eastAsia="Calibri"/>
          <w:b/>
          <w:bCs/>
          <w:szCs w:val="24"/>
        </w:rPr>
        <w:t xml:space="preserve">6.4 Security of Food </w:t>
      </w:r>
    </w:p>
    <w:p w14:paraId="70FADBA3">
      <w:pPr>
        <w:spacing w:before="240"/>
        <w:jc w:val="both"/>
        <w:rPr>
          <w:rFonts w:eastAsia="Calibri"/>
          <w:szCs w:val="24"/>
        </w:rPr>
      </w:pPr>
      <w:r>
        <w:rPr>
          <w:rFonts w:eastAsia="Calibri"/>
          <w:szCs w:val="24"/>
        </w:rPr>
        <w:t>Food security is a useful yardstick for judging the quality of governance. It cannot be credible to claim progress when a large proportion of a country’s citizens are unable to have access to sufficient, safe and nutritious food consistently. Food security is influenced by a number of interrelated factors, including agricultural productivity, rural infrastructure, security, access to markets, household income and food price stability. According to the Food and Agriculture Organization (FAO, 2024), tens of millions of Nigerians are suffering from moderate to severe food insecurity. The situation is worsening due to insecurity, inflation, climate-related pressures and weaknesses in agricultural productivity. The Global Hunger Index has also continued to rate Nigeria in the serious hunger situation category. This means that food security is not only an agricultural issue. And it’s also a governance, economic, security and social policy issue.</w:t>
      </w:r>
    </w:p>
    <w:p w14:paraId="62C8F17A">
      <w:pPr>
        <w:pStyle w:val="4"/>
        <w:jc w:val="both"/>
        <w:rPr>
          <w:rStyle w:val="24"/>
          <w:rFonts w:ascii="Times New Roman" w:hAnsi="Times New Roman" w:eastAsia="SimSun" w:cs="Times New Roman"/>
        </w:rPr>
      </w:pPr>
      <w:r>
        <w:rPr>
          <w:rFonts w:ascii="Times New Roman" w:hAnsi="Times New Roman"/>
          <w:b/>
          <w:bCs/>
        </w:rPr>
        <w:t>Key Performance Indicators</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25"/>
        <w:gridCol w:w="3420"/>
      </w:tblGrid>
      <w:tr w14:paraId="663F6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5" w:type="dxa"/>
            <w:tcBorders>
              <w:top w:val="single" w:color="auto" w:sz="4" w:space="0"/>
              <w:left w:val="single" w:color="auto" w:sz="4" w:space="0"/>
              <w:bottom w:val="single" w:color="auto" w:sz="4" w:space="0"/>
              <w:right w:val="single" w:color="auto" w:sz="4" w:space="0"/>
            </w:tcBorders>
          </w:tcPr>
          <w:p w14:paraId="51E4B980">
            <w:pPr>
              <w:spacing w:after="0"/>
              <w:jc w:val="both"/>
            </w:pPr>
            <w:r>
              <w:rPr>
                <w:szCs w:val="24"/>
              </w:rPr>
              <w:t>Indicator</w:t>
            </w:r>
          </w:p>
        </w:tc>
        <w:tc>
          <w:tcPr>
            <w:tcW w:w="3420" w:type="dxa"/>
            <w:tcBorders>
              <w:top w:val="single" w:color="auto" w:sz="4" w:space="0"/>
              <w:left w:val="single" w:color="auto" w:sz="4" w:space="0"/>
              <w:bottom w:val="single" w:color="auto" w:sz="4" w:space="0"/>
              <w:right w:val="single" w:color="auto" w:sz="4" w:space="0"/>
            </w:tcBorders>
          </w:tcPr>
          <w:p w14:paraId="4EAD37B8">
            <w:pPr>
              <w:spacing w:after="0"/>
              <w:jc w:val="both"/>
              <w:rPr>
                <w:szCs w:val="24"/>
              </w:rPr>
            </w:pPr>
            <w:r>
              <w:rPr>
                <w:szCs w:val="24"/>
              </w:rPr>
              <w:t>Status</w:t>
            </w:r>
          </w:p>
        </w:tc>
      </w:tr>
      <w:tr w14:paraId="1CB24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5" w:type="dxa"/>
            <w:tcBorders>
              <w:top w:val="single" w:color="auto" w:sz="4" w:space="0"/>
              <w:left w:val="single" w:color="auto" w:sz="4" w:space="0"/>
              <w:bottom w:val="single" w:color="auto" w:sz="4" w:space="0"/>
              <w:right w:val="single" w:color="auto" w:sz="4" w:space="0"/>
            </w:tcBorders>
          </w:tcPr>
          <w:p w14:paraId="2A6AEB62">
            <w:pPr>
              <w:spacing w:after="0"/>
              <w:jc w:val="both"/>
              <w:rPr>
                <w:szCs w:val="24"/>
              </w:rPr>
            </w:pPr>
            <w:r>
              <w:rPr>
                <w:szCs w:val="24"/>
              </w:rPr>
              <w:t>Food Security</w:t>
            </w:r>
          </w:p>
        </w:tc>
        <w:tc>
          <w:tcPr>
            <w:tcW w:w="3420" w:type="dxa"/>
            <w:tcBorders>
              <w:top w:val="single" w:color="auto" w:sz="4" w:space="0"/>
              <w:left w:val="single" w:color="auto" w:sz="4" w:space="0"/>
              <w:bottom w:val="single" w:color="auto" w:sz="4" w:space="0"/>
              <w:right w:val="single" w:color="auto" w:sz="4" w:space="0"/>
            </w:tcBorders>
          </w:tcPr>
          <w:p w14:paraId="62D4E717">
            <w:pPr>
              <w:spacing w:after="0"/>
              <w:jc w:val="both"/>
              <w:rPr>
                <w:szCs w:val="24"/>
              </w:rPr>
            </w:pPr>
            <w:r>
              <w:rPr>
                <w:szCs w:val="24"/>
              </w:rPr>
              <w:t>Serious Concern</w:t>
            </w:r>
          </w:p>
        </w:tc>
      </w:tr>
      <w:tr w14:paraId="60FC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5" w:type="dxa"/>
            <w:tcBorders>
              <w:top w:val="single" w:color="auto" w:sz="4" w:space="0"/>
              <w:left w:val="single" w:color="auto" w:sz="4" w:space="0"/>
              <w:bottom w:val="single" w:color="auto" w:sz="4" w:space="0"/>
              <w:right w:val="single" w:color="auto" w:sz="4" w:space="0"/>
            </w:tcBorders>
          </w:tcPr>
          <w:p w14:paraId="7EF60890">
            <w:pPr>
              <w:spacing w:after="0"/>
              <w:jc w:val="both"/>
              <w:rPr>
                <w:szCs w:val="24"/>
              </w:rPr>
            </w:pPr>
            <w:r>
              <w:rPr>
                <w:szCs w:val="24"/>
              </w:rPr>
              <w:t>Rural Food Insecurity</w:t>
            </w:r>
          </w:p>
        </w:tc>
        <w:tc>
          <w:tcPr>
            <w:tcW w:w="3420" w:type="dxa"/>
            <w:tcBorders>
              <w:top w:val="single" w:color="auto" w:sz="4" w:space="0"/>
              <w:left w:val="single" w:color="auto" w:sz="4" w:space="0"/>
              <w:bottom w:val="single" w:color="auto" w:sz="4" w:space="0"/>
              <w:right w:val="single" w:color="auto" w:sz="4" w:space="0"/>
            </w:tcBorders>
          </w:tcPr>
          <w:p w14:paraId="3FB36A28">
            <w:pPr>
              <w:spacing w:after="0"/>
              <w:jc w:val="both"/>
              <w:rPr>
                <w:szCs w:val="24"/>
              </w:rPr>
            </w:pPr>
            <w:r>
              <w:rPr>
                <w:szCs w:val="24"/>
              </w:rPr>
              <w:t>High</w:t>
            </w:r>
          </w:p>
        </w:tc>
      </w:tr>
    </w:tbl>
    <w:p w14:paraId="4DCD2D0B">
      <w:pPr>
        <w:jc w:val="both"/>
        <w:rPr>
          <w:rFonts w:eastAsia="Calibri"/>
          <w:i/>
          <w:iCs/>
          <w:szCs w:val="24"/>
        </w:rPr>
      </w:pPr>
      <w:r>
        <w:rPr>
          <w:rFonts w:eastAsia="Calibri"/>
          <w:szCs w:val="24"/>
        </w:rPr>
        <w:t>Source: FAO (2024); Global Hunger Index (2024)</w:t>
      </w:r>
    </w:p>
    <w:p w14:paraId="5345DC48">
      <w:pPr>
        <w:spacing w:after="100" w:afterAutospacing="1"/>
        <w:jc w:val="both"/>
        <w:outlineLvl w:val="1"/>
        <w:rPr>
          <w:rFonts w:eastAsia="Times New Roman"/>
          <w:b/>
          <w:bCs/>
          <w:szCs w:val="24"/>
        </w:rPr>
      </w:pPr>
      <w:r>
        <w:rPr>
          <w:rFonts w:eastAsia="Calibri"/>
          <w:b/>
          <w:bCs/>
          <w:szCs w:val="24"/>
        </w:rPr>
        <w:t>6.5 Migration and the Loss of Human Capital</w:t>
      </w:r>
    </w:p>
    <w:p w14:paraId="3A209577">
      <w:pPr>
        <w:spacing w:after="100" w:afterAutospacing="1"/>
        <w:jc w:val="both"/>
        <w:rPr>
          <w:szCs w:val="24"/>
        </w:rPr>
      </w:pPr>
      <w:r>
        <w:rPr>
          <w:rFonts w:eastAsia="Calibri"/>
          <w:szCs w:val="24"/>
        </w:rPr>
        <w:t>Migration has also become an important indicator of the health of a country's economy and institutions. In Nigeria, particular attention should be paid to the movement of highly skilled professionals because of its implications for national capacity. Doctors, nurses, engineers, ICT professionals, academics and other skilled workers continue to seek opportunities outside the country. The United Kingdom's General Medical Council has identified Nigeria as one of the significant sources of foreign-trained doctors entering the British medical system. The OECD migration statistics also reveal continuing international movement among highly skilled Nigerians. But the problem is not migration per se. Nigerians have historically travelled, studied and worked abroad and international mobility can yield major benefits through knowledge transfer, remittances and international networks. This problem develops when the ongoing departure of educated professionals indicates that the home environment cannot give enough chances, security, pay and professional development. When this happens on a broad scale, Nigeria loses more than the individual workers. It loses part of the human capital, institutional experience and intellectual capacity required for national transformation.</w:t>
      </w:r>
    </w:p>
    <w:p w14:paraId="0F12D1DF">
      <w:pPr>
        <w:pStyle w:val="4"/>
        <w:jc w:val="both"/>
        <w:rPr>
          <w:rStyle w:val="24"/>
          <w:rFonts w:ascii="Times New Roman" w:hAnsi="Times New Roman" w:cs="Times New Roman"/>
        </w:rPr>
      </w:pPr>
      <w:r>
        <w:rPr>
          <w:rFonts w:ascii="Times New Roman" w:hAnsi="Times New Roman"/>
          <w:b/>
          <w:bCs/>
        </w:rPr>
        <w:t>Key Performance Indicators</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5"/>
        <w:gridCol w:w="3420"/>
      </w:tblGrid>
      <w:tr w14:paraId="7A16E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685" w:type="dxa"/>
            <w:tcBorders>
              <w:top w:val="single" w:color="auto" w:sz="4" w:space="0"/>
              <w:left w:val="single" w:color="auto" w:sz="4" w:space="0"/>
              <w:bottom w:val="single" w:color="auto" w:sz="4" w:space="0"/>
              <w:right w:val="single" w:color="auto" w:sz="4" w:space="0"/>
            </w:tcBorders>
          </w:tcPr>
          <w:p w14:paraId="600A111B">
            <w:pPr>
              <w:spacing w:after="0"/>
              <w:jc w:val="both"/>
            </w:pPr>
            <w:r>
              <w:rPr>
                <w:szCs w:val="24"/>
              </w:rPr>
              <w:t>Indicator</w:t>
            </w:r>
          </w:p>
        </w:tc>
        <w:tc>
          <w:tcPr>
            <w:tcW w:w="3420" w:type="dxa"/>
            <w:tcBorders>
              <w:top w:val="single" w:color="auto" w:sz="4" w:space="0"/>
              <w:left w:val="single" w:color="auto" w:sz="4" w:space="0"/>
              <w:bottom w:val="single" w:color="auto" w:sz="4" w:space="0"/>
              <w:right w:val="single" w:color="auto" w:sz="4" w:space="0"/>
            </w:tcBorders>
          </w:tcPr>
          <w:p w14:paraId="7D3F2261">
            <w:pPr>
              <w:spacing w:after="0"/>
              <w:jc w:val="both"/>
              <w:rPr>
                <w:szCs w:val="24"/>
              </w:rPr>
            </w:pPr>
            <w:r>
              <w:rPr>
                <w:szCs w:val="24"/>
              </w:rPr>
              <w:t>Trend</w:t>
            </w:r>
          </w:p>
        </w:tc>
      </w:tr>
      <w:tr w14:paraId="6906D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Borders>
              <w:top w:val="single" w:color="auto" w:sz="4" w:space="0"/>
              <w:left w:val="single" w:color="auto" w:sz="4" w:space="0"/>
              <w:bottom w:val="single" w:color="auto" w:sz="4" w:space="0"/>
              <w:right w:val="single" w:color="auto" w:sz="4" w:space="0"/>
            </w:tcBorders>
          </w:tcPr>
          <w:p w14:paraId="5ABB9C3F">
            <w:pPr>
              <w:spacing w:after="0"/>
              <w:jc w:val="both"/>
              <w:rPr>
                <w:szCs w:val="24"/>
              </w:rPr>
            </w:pPr>
            <w:r>
              <w:rPr>
                <w:szCs w:val="24"/>
              </w:rPr>
              <w:t>Skilled Migration</w:t>
            </w:r>
          </w:p>
        </w:tc>
        <w:tc>
          <w:tcPr>
            <w:tcW w:w="3420" w:type="dxa"/>
            <w:tcBorders>
              <w:top w:val="single" w:color="auto" w:sz="4" w:space="0"/>
              <w:left w:val="single" w:color="auto" w:sz="4" w:space="0"/>
              <w:bottom w:val="single" w:color="auto" w:sz="4" w:space="0"/>
              <w:right w:val="single" w:color="auto" w:sz="4" w:space="0"/>
            </w:tcBorders>
          </w:tcPr>
          <w:p w14:paraId="6A66137F">
            <w:pPr>
              <w:spacing w:after="0"/>
              <w:jc w:val="both"/>
              <w:rPr>
                <w:szCs w:val="24"/>
              </w:rPr>
            </w:pPr>
            <w:r>
              <w:rPr>
                <w:szCs w:val="24"/>
              </w:rPr>
              <w:t xml:space="preserve">Increasing </w:t>
            </w:r>
          </w:p>
        </w:tc>
      </w:tr>
      <w:tr w14:paraId="195A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Borders>
              <w:top w:val="single" w:color="auto" w:sz="4" w:space="0"/>
              <w:left w:val="single" w:color="auto" w:sz="4" w:space="0"/>
              <w:bottom w:val="single" w:color="auto" w:sz="4" w:space="0"/>
              <w:right w:val="single" w:color="auto" w:sz="4" w:space="0"/>
            </w:tcBorders>
          </w:tcPr>
          <w:p w14:paraId="476F6CED">
            <w:pPr>
              <w:spacing w:after="0"/>
              <w:jc w:val="both"/>
              <w:rPr>
                <w:szCs w:val="24"/>
              </w:rPr>
            </w:pPr>
            <w:r>
              <w:rPr>
                <w:szCs w:val="24"/>
              </w:rPr>
              <w:t xml:space="preserve">Health Worker Emigration </w:t>
            </w:r>
          </w:p>
        </w:tc>
        <w:tc>
          <w:tcPr>
            <w:tcW w:w="3420" w:type="dxa"/>
            <w:tcBorders>
              <w:top w:val="single" w:color="auto" w:sz="4" w:space="0"/>
              <w:left w:val="single" w:color="auto" w:sz="4" w:space="0"/>
              <w:bottom w:val="single" w:color="auto" w:sz="4" w:space="0"/>
              <w:right w:val="single" w:color="auto" w:sz="4" w:space="0"/>
            </w:tcBorders>
          </w:tcPr>
          <w:p w14:paraId="18B2AB19">
            <w:pPr>
              <w:spacing w:after="0"/>
              <w:jc w:val="both"/>
              <w:rPr>
                <w:szCs w:val="24"/>
              </w:rPr>
            </w:pPr>
            <w:r>
              <w:rPr>
                <w:szCs w:val="24"/>
              </w:rPr>
              <w:t xml:space="preserve">Increasing </w:t>
            </w:r>
          </w:p>
        </w:tc>
      </w:tr>
    </w:tbl>
    <w:p w14:paraId="44C25346">
      <w:pPr>
        <w:spacing w:before="240"/>
        <w:jc w:val="both"/>
        <w:rPr>
          <w:rFonts w:eastAsia="Calibri"/>
          <w:szCs w:val="24"/>
        </w:rPr>
      </w:pPr>
      <w:r>
        <w:rPr>
          <w:rFonts w:eastAsia="Calibri"/>
          <w:szCs w:val="24"/>
        </w:rPr>
        <w:t>Sources: OECD (2024); UK General Medical Council (2024)</w:t>
      </w:r>
    </w:p>
    <w:p w14:paraId="6E017BB8">
      <w:pPr>
        <w:spacing w:after="100" w:afterAutospacing="1"/>
        <w:jc w:val="both"/>
        <w:outlineLvl w:val="1"/>
        <w:rPr>
          <w:rFonts w:eastAsia="Times New Roman"/>
          <w:b/>
          <w:bCs/>
          <w:szCs w:val="24"/>
        </w:rPr>
      </w:pPr>
      <w:r>
        <w:rPr>
          <w:rFonts w:eastAsia="Calibri"/>
          <w:b/>
          <w:bCs/>
          <w:szCs w:val="24"/>
        </w:rPr>
        <w:t>6.6 Security</w:t>
      </w:r>
    </w:p>
    <w:p w14:paraId="49F43323">
      <w:pPr>
        <w:spacing w:after="100" w:afterAutospacing="1"/>
        <w:jc w:val="both"/>
        <w:rPr>
          <w:rFonts w:eastAsia="Calibri"/>
          <w:szCs w:val="24"/>
        </w:rPr>
      </w:pPr>
      <w:r>
        <w:rPr>
          <w:rFonts w:eastAsia="Calibri"/>
          <w:szCs w:val="24"/>
        </w:rPr>
        <w:t>Security is not just law and order concern. It is also an economic and development measure. Understandably, investors will not put their cash to work if people, property and business activities are not sufficiently protected. Farming areas with insecurity are unable to farm their land freely. Violence and relocation, recurring in communities, prevent children from learning well. Businesses cannot operate properly when transit routes, supply chains and marketplaces are continuously under threat. The economic cost of insecurity is evident in Nigeria’s experience of insurgency, banditry, abduction, community conflicts and oil theft. More and more, security operations and crisis management use public resources that could have been used for infrastructure, education, healthcare and productive investment. Nigeria is still one of the most hit countries by terrorism, according to the Global Terrorism Index.</w:t>
      </w:r>
    </w:p>
    <w:p w14:paraId="385A91C5">
      <w:pPr>
        <w:pStyle w:val="4"/>
        <w:jc w:val="both"/>
        <w:rPr>
          <w:rStyle w:val="24"/>
          <w:rFonts w:ascii="Times New Roman" w:hAnsi="Times New Roman" w:eastAsia="SimSun" w:cs="Times New Roman"/>
        </w:rPr>
      </w:pPr>
      <w:r>
        <w:rPr>
          <w:rFonts w:ascii="Times New Roman" w:hAnsi="Times New Roman"/>
          <w:b/>
          <w:bCs/>
        </w:rPr>
        <w:t>Key Performance Indicators</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35"/>
        <w:gridCol w:w="4140"/>
      </w:tblGrid>
      <w:tr w14:paraId="07C9A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5" w:type="dxa"/>
            <w:tcBorders>
              <w:top w:val="single" w:color="auto" w:sz="4" w:space="0"/>
              <w:left w:val="single" w:color="auto" w:sz="4" w:space="0"/>
              <w:bottom w:val="single" w:color="auto" w:sz="4" w:space="0"/>
              <w:right w:val="single" w:color="auto" w:sz="4" w:space="0"/>
            </w:tcBorders>
          </w:tcPr>
          <w:p w14:paraId="0596F40F">
            <w:pPr>
              <w:spacing w:after="0"/>
              <w:jc w:val="both"/>
            </w:pPr>
            <w:r>
              <w:rPr>
                <w:szCs w:val="24"/>
              </w:rPr>
              <w:t>Indicator</w:t>
            </w:r>
          </w:p>
        </w:tc>
        <w:tc>
          <w:tcPr>
            <w:tcW w:w="4140" w:type="dxa"/>
            <w:tcBorders>
              <w:top w:val="single" w:color="auto" w:sz="4" w:space="0"/>
              <w:left w:val="single" w:color="auto" w:sz="4" w:space="0"/>
              <w:bottom w:val="single" w:color="auto" w:sz="4" w:space="0"/>
              <w:right w:val="single" w:color="auto" w:sz="4" w:space="0"/>
            </w:tcBorders>
          </w:tcPr>
          <w:p w14:paraId="0B1D8D7D">
            <w:pPr>
              <w:spacing w:after="0"/>
              <w:jc w:val="both"/>
              <w:rPr>
                <w:szCs w:val="24"/>
              </w:rPr>
            </w:pPr>
            <w:r>
              <w:rPr>
                <w:szCs w:val="24"/>
              </w:rPr>
              <w:t>Latest Value</w:t>
            </w:r>
          </w:p>
        </w:tc>
      </w:tr>
      <w:tr w14:paraId="642BE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5" w:type="dxa"/>
            <w:tcBorders>
              <w:top w:val="single" w:color="auto" w:sz="4" w:space="0"/>
              <w:left w:val="single" w:color="auto" w:sz="4" w:space="0"/>
              <w:bottom w:val="single" w:color="auto" w:sz="4" w:space="0"/>
              <w:right w:val="single" w:color="auto" w:sz="4" w:space="0"/>
            </w:tcBorders>
          </w:tcPr>
          <w:p w14:paraId="5DA7E7BB">
            <w:pPr>
              <w:spacing w:after="0"/>
              <w:jc w:val="both"/>
              <w:rPr>
                <w:szCs w:val="24"/>
              </w:rPr>
            </w:pPr>
            <w:r>
              <w:rPr>
                <w:szCs w:val="24"/>
              </w:rPr>
              <w:t>Internal Displacement</w:t>
            </w:r>
          </w:p>
        </w:tc>
        <w:tc>
          <w:tcPr>
            <w:tcW w:w="4140" w:type="dxa"/>
            <w:tcBorders>
              <w:top w:val="single" w:color="auto" w:sz="4" w:space="0"/>
              <w:left w:val="single" w:color="auto" w:sz="4" w:space="0"/>
              <w:bottom w:val="single" w:color="auto" w:sz="4" w:space="0"/>
              <w:right w:val="single" w:color="auto" w:sz="4" w:space="0"/>
            </w:tcBorders>
          </w:tcPr>
          <w:p w14:paraId="0D71DCAF">
            <w:pPr>
              <w:spacing w:after="0"/>
              <w:jc w:val="both"/>
              <w:rPr>
                <w:szCs w:val="24"/>
              </w:rPr>
            </w:pPr>
            <w:r>
              <w:rPr>
                <w:szCs w:val="24"/>
              </w:rPr>
              <w:t>Over 3 million persons</w:t>
            </w:r>
          </w:p>
        </w:tc>
      </w:tr>
      <w:tr w14:paraId="5EB99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5" w:type="dxa"/>
            <w:tcBorders>
              <w:top w:val="single" w:color="auto" w:sz="4" w:space="0"/>
              <w:left w:val="single" w:color="auto" w:sz="4" w:space="0"/>
              <w:bottom w:val="single" w:color="auto" w:sz="4" w:space="0"/>
              <w:right w:val="single" w:color="auto" w:sz="4" w:space="0"/>
            </w:tcBorders>
          </w:tcPr>
          <w:p w14:paraId="0257CC35">
            <w:pPr>
              <w:spacing w:after="0"/>
              <w:jc w:val="both"/>
              <w:rPr>
                <w:szCs w:val="24"/>
              </w:rPr>
            </w:pPr>
            <w:r>
              <w:rPr>
                <w:szCs w:val="24"/>
              </w:rPr>
              <w:t>Terrorism Ranking</w:t>
            </w:r>
          </w:p>
        </w:tc>
        <w:tc>
          <w:tcPr>
            <w:tcW w:w="4140" w:type="dxa"/>
            <w:tcBorders>
              <w:top w:val="single" w:color="auto" w:sz="4" w:space="0"/>
              <w:left w:val="single" w:color="auto" w:sz="4" w:space="0"/>
              <w:bottom w:val="single" w:color="auto" w:sz="4" w:space="0"/>
              <w:right w:val="single" w:color="auto" w:sz="4" w:space="0"/>
            </w:tcBorders>
          </w:tcPr>
          <w:p w14:paraId="7D41C1ED">
            <w:pPr>
              <w:spacing w:after="0"/>
              <w:jc w:val="both"/>
              <w:rPr>
                <w:szCs w:val="24"/>
              </w:rPr>
            </w:pPr>
            <w:r>
              <w:rPr>
                <w:szCs w:val="24"/>
              </w:rPr>
              <w:t>Among world's most affected</w:t>
            </w:r>
          </w:p>
        </w:tc>
      </w:tr>
    </w:tbl>
    <w:p w14:paraId="10AAA408">
      <w:pPr>
        <w:pStyle w:val="12"/>
        <w:jc w:val="both"/>
      </w:pPr>
      <w:r>
        <w:t>Sources: IOM (2024); Global Terrorism Index (2025).</w:t>
      </w:r>
    </w:p>
    <w:p w14:paraId="7D6372A9">
      <w:pPr>
        <w:spacing w:before="240"/>
        <w:jc w:val="both"/>
        <w:rPr>
          <w:rFonts w:eastAsia="Calibri"/>
          <w:b/>
          <w:bCs/>
          <w:szCs w:val="24"/>
        </w:rPr>
      </w:pPr>
      <w:r>
        <w:rPr>
          <w:rFonts w:eastAsia="Calibri"/>
          <w:b/>
          <w:bCs/>
          <w:szCs w:val="24"/>
        </w:rPr>
        <w:t xml:space="preserve">6.7 Trust in Society and Corruption </w:t>
      </w:r>
    </w:p>
    <w:p w14:paraId="6B32C097">
      <w:pPr>
        <w:spacing w:before="240"/>
        <w:jc w:val="both"/>
        <w:rPr>
          <w:rFonts w:eastAsia="Calibri"/>
          <w:szCs w:val="24"/>
        </w:rPr>
      </w:pPr>
      <w:r>
        <w:rPr>
          <w:rFonts w:eastAsia="Calibri"/>
          <w:szCs w:val="24"/>
        </w:rPr>
        <w:t>Governance is an important bridge between citizens and public institutions, but it is neglected. When citizens perceive that public institutions are fair, transparent and accountable, they are more likely to obey the law, pay taxes, take part in civic activities and cooperate with government programs. The bane of this relationship is corruption. It appears that the public institutions are serving private interests rather than public interests. Nigeria scored 26 out of 100 and ranked 140 out of 180 countries in Transparency International’s 2024 Corruption Perceptions Index (Transparency International, 2025). The score level shows persistent concerns about integrity and accountability in the public sector. And, equally important, corruption has far-reaching consequences beyond the misappropriation of public resources. It can discourage investment, reduce tax compliance, erode trust in public institutions and create barriers to effective public-private partnership.</w:t>
      </w:r>
    </w:p>
    <w:p w14:paraId="15136329">
      <w:pPr>
        <w:pStyle w:val="4"/>
        <w:jc w:val="both"/>
        <w:rPr>
          <w:rStyle w:val="24"/>
          <w:rFonts w:ascii="Times New Roman" w:hAnsi="Times New Roman" w:eastAsia="SimSun" w:cs="Times New Roman"/>
        </w:rPr>
      </w:pPr>
      <w:r>
        <w:rPr>
          <w:rFonts w:ascii="Times New Roman" w:hAnsi="Times New Roman"/>
          <w:b/>
          <w:bCs/>
        </w:rPr>
        <w:t>Key Performance Indicators</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65"/>
        <w:gridCol w:w="3240"/>
      </w:tblGrid>
      <w:tr w14:paraId="615E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5" w:type="dxa"/>
            <w:tcBorders>
              <w:top w:val="single" w:color="auto" w:sz="4" w:space="0"/>
              <w:left w:val="single" w:color="auto" w:sz="4" w:space="0"/>
              <w:bottom w:val="single" w:color="auto" w:sz="4" w:space="0"/>
              <w:right w:val="single" w:color="auto" w:sz="4" w:space="0"/>
            </w:tcBorders>
            <w:vAlign w:val="center"/>
          </w:tcPr>
          <w:p w14:paraId="23CFCA94">
            <w:pPr>
              <w:spacing w:after="0"/>
              <w:jc w:val="both"/>
            </w:pPr>
            <w:r>
              <w:rPr>
                <w:szCs w:val="24"/>
              </w:rPr>
              <w:t>Indicator</w:t>
            </w:r>
          </w:p>
        </w:tc>
        <w:tc>
          <w:tcPr>
            <w:tcW w:w="3240" w:type="dxa"/>
            <w:tcBorders>
              <w:top w:val="single" w:color="auto" w:sz="4" w:space="0"/>
              <w:left w:val="single" w:color="auto" w:sz="4" w:space="0"/>
              <w:bottom w:val="single" w:color="auto" w:sz="4" w:space="0"/>
              <w:right w:val="single" w:color="auto" w:sz="4" w:space="0"/>
            </w:tcBorders>
            <w:vAlign w:val="center"/>
          </w:tcPr>
          <w:p w14:paraId="759B4975">
            <w:pPr>
              <w:spacing w:after="0"/>
              <w:jc w:val="both"/>
              <w:rPr>
                <w:szCs w:val="24"/>
              </w:rPr>
            </w:pPr>
            <w:r>
              <w:rPr>
                <w:szCs w:val="24"/>
              </w:rPr>
              <w:t>Latest Value</w:t>
            </w:r>
          </w:p>
        </w:tc>
      </w:tr>
      <w:tr w14:paraId="07506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5" w:type="dxa"/>
            <w:tcBorders>
              <w:top w:val="single" w:color="auto" w:sz="4" w:space="0"/>
              <w:left w:val="single" w:color="auto" w:sz="4" w:space="0"/>
              <w:bottom w:val="single" w:color="auto" w:sz="4" w:space="0"/>
              <w:right w:val="single" w:color="auto" w:sz="4" w:space="0"/>
            </w:tcBorders>
          </w:tcPr>
          <w:p w14:paraId="6F77738D">
            <w:pPr>
              <w:spacing w:after="0"/>
              <w:jc w:val="both"/>
              <w:rPr>
                <w:szCs w:val="24"/>
              </w:rPr>
            </w:pPr>
            <w:r>
              <w:rPr>
                <w:szCs w:val="24"/>
              </w:rPr>
              <w:t>CPI Score</w:t>
            </w:r>
          </w:p>
        </w:tc>
        <w:tc>
          <w:tcPr>
            <w:tcW w:w="3240" w:type="dxa"/>
            <w:tcBorders>
              <w:top w:val="single" w:color="auto" w:sz="4" w:space="0"/>
              <w:left w:val="single" w:color="auto" w:sz="4" w:space="0"/>
              <w:bottom w:val="single" w:color="auto" w:sz="4" w:space="0"/>
              <w:right w:val="single" w:color="auto" w:sz="4" w:space="0"/>
            </w:tcBorders>
          </w:tcPr>
          <w:p w14:paraId="5498DC83">
            <w:pPr>
              <w:spacing w:after="0"/>
              <w:jc w:val="both"/>
              <w:rPr>
                <w:szCs w:val="24"/>
              </w:rPr>
            </w:pPr>
            <w:r>
              <w:rPr>
                <w:szCs w:val="24"/>
              </w:rPr>
              <w:t>26/100</w:t>
            </w:r>
          </w:p>
        </w:tc>
      </w:tr>
      <w:tr w14:paraId="14E82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5" w:type="dxa"/>
            <w:tcBorders>
              <w:top w:val="single" w:color="auto" w:sz="4" w:space="0"/>
              <w:left w:val="single" w:color="auto" w:sz="4" w:space="0"/>
              <w:bottom w:val="single" w:color="auto" w:sz="4" w:space="0"/>
              <w:right w:val="single" w:color="auto" w:sz="4" w:space="0"/>
            </w:tcBorders>
          </w:tcPr>
          <w:p w14:paraId="3212BED7">
            <w:pPr>
              <w:spacing w:after="0"/>
              <w:jc w:val="both"/>
              <w:rPr>
                <w:szCs w:val="24"/>
              </w:rPr>
            </w:pPr>
            <w:r>
              <w:rPr>
                <w:szCs w:val="24"/>
              </w:rPr>
              <w:t>Global Rank</w:t>
            </w:r>
          </w:p>
        </w:tc>
        <w:tc>
          <w:tcPr>
            <w:tcW w:w="3240" w:type="dxa"/>
            <w:tcBorders>
              <w:top w:val="single" w:color="auto" w:sz="4" w:space="0"/>
              <w:left w:val="single" w:color="auto" w:sz="4" w:space="0"/>
              <w:bottom w:val="single" w:color="auto" w:sz="4" w:space="0"/>
              <w:right w:val="single" w:color="auto" w:sz="4" w:space="0"/>
            </w:tcBorders>
            <w:vAlign w:val="center"/>
          </w:tcPr>
          <w:p w14:paraId="14301D7E">
            <w:pPr>
              <w:spacing w:after="0"/>
              <w:jc w:val="both"/>
              <w:rPr>
                <w:szCs w:val="24"/>
              </w:rPr>
            </w:pPr>
            <w:r>
              <w:rPr>
                <w:szCs w:val="24"/>
              </w:rPr>
              <w:t>140/180</w:t>
            </w:r>
          </w:p>
        </w:tc>
      </w:tr>
    </w:tbl>
    <w:p w14:paraId="292D9FCB">
      <w:pPr>
        <w:pStyle w:val="12"/>
        <w:jc w:val="both"/>
        <w:rPr>
          <w:rStyle w:val="25"/>
          <w:rFonts w:ascii="Times New Roman" w:hAnsi="Times New Roman" w:eastAsia="SimSun" w:cs="Times New Roman"/>
        </w:rPr>
      </w:pPr>
      <w:r>
        <w:t>Source: Transparency International (2025).</w:t>
      </w:r>
    </w:p>
    <w:p w14:paraId="5657F255">
      <w:pPr>
        <w:spacing w:before="240"/>
        <w:jc w:val="both"/>
        <w:rPr>
          <w:rFonts w:eastAsia="Calibri"/>
          <w:b/>
          <w:bCs/>
          <w:szCs w:val="24"/>
        </w:rPr>
      </w:pPr>
      <w:r>
        <w:rPr>
          <w:rFonts w:eastAsia="Calibri"/>
          <w:b/>
          <w:bCs/>
          <w:szCs w:val="24"/>
        </w:rPr>
        <w:t xml:space="preserve">6.8. Business Environment and Competitiveness </w:t>
      </w:r>
    </w:p>
    <w:p w14:paraId="06F87A94">
      <w:pPr>
        <w:spacing w:before="240"/>
        <w:jc w:val="both"/>
        <w:rPr>
          <w:rFonts w:eastAsia="Calibri"/>
          <w:szCs w:val="24"/>
        </w:rPr>
      </w:pPr>
      <w:r>
        <w:rPr>
          <w:rFonts w:eastAsia="Calibri"/>
          <w:szCs w:val="24"/>
        </w:rPr>
        <w:t>The business environment is another practical way of assessing governance. The World Bank has discontinued the former Doing Business report and has substituted the Business Ready (B-READY) project and other measures of business and institutional performance. The removal of the former Doing Business rankings has not helped Nigerian businesses which still face severe operating constraints. Electricity, taxation, logistics, contract enforcement and access to foreign exchange are still major challenges. The Manufacturers Association of Nigeria (2024) observed that the rising in energy prices has placed additional pressure on manufacturing processes and industrial competitiveness. For business these constraints have meant higher operating costs, more uncertainty and less ability to compete domestically and internationally. The lesson for government is clear: an economy cannot be globally competitive when businesses spend too much time and resources overcoming avoidable institutional and infrastructural constraints.</w:t>
      </w:r>
    </w:p>
    <w:p w14:paraId="05832F20">
      <w:pPr>
        <w:pStyle w:val="4"/>
        <w:jc w:val="both"/>
        <w:rPr>
          <w:rFonts w:ascii="Times New Roman" w:hAnsi="Times New Roman" w:eastAsia="SimSun"/>
          <w:b/>
          <w:bCs/>
        </w:rPr>
      </w:pPr>
      <w:r>
        <w:rPr>
          <w:rFonts w:ascii="Times New Roman" w:hAnsi="Times New Roman"/>
          <w:b/>
          <w:bCs/>
        </w:rPr>
        <w:t>Key Performance Indicators</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65"/>
        <w:gridCol w:w="2880"/>
      </w:tblGrid>
      <w:tr w14:paraId="607A7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65" w:type="dxa"/>
            <w:tcBorders>
              <w:top w:val="single" w:color="auto" w:sz="4" w:space="0"/>
              <w:left w:val="single" w:color="auto" w:sz="4" w:space="0"/>
              <w:bottom w:val="single" w:color="auto" w:sz="4" w:space="0"/>
              <w:right w:val="single" w:color="auto" w:sz="4" w:space="0"/>
            </w:tcBorders>
          </w:tcPr>
          <w:p w14:paraId="14B38A50">
            <w:pPr>
              <w:spacing w:after="0"/>
              <w:jc w:val="both"/>
              <w:rPr>
                <w:szCs w:val="24"/>
              </w:rPr>
            </w:pPr>
            <w:r>
              <w:rPr>
                <w:szCs w:val="24"/>
              </w:rPr>
              <w:t>Indicator</w:t>
            </w:r>
          </w:p>
        </w:tc>
        <w:tc>
          <w:tcPr>
            <w:tcW w:w="2880" w:type="dxa"/>
            <w:tcBorders>
              <w:top w:val="single" w:color="auto" w:sz="4" w:space="0"/>
              <w:left w:val="single" w:color="auto" w:sz="4" w:space="0"/>
              <w:bottom w:val="single" w:color="auto" w:sz="4" w:space="0"/>
              <w:right w:val="single" w:color="auto" w:sz="4" w:space="0"/>
            </w:tcBorders>
          </w:tcPr>
          <w:p w14:paraId="46CDCE91">
            <w:pPr>
              <w:spacing w:after="0"/>
              <w:jc w:val="both"/>
              <w:rPr>
                <w:szCs w:val="24"/>
              </w:rPr>
            </w:pPr>
            <w:r>
              <w:rPr>
                <w:szCs w:val="24"/>
              </w:rPr>
              <w:t>Trend</w:t>
            </w:r>
          </w:p>
        </w:tc>
      </w:tr>
      <w:tr w14:paraId="65062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65" w:type="dxa"/>
            <w:tcBorders>
              <w:top w:val="single" w:color="auto" w:sz="4" w:space="0"/>
              <w:left w:val="single" w:color="auto" w:sz="4" w:space="0"/>
              <w:bottom w:val="single" w:color="auto" w:sz="4" w:space="0"/>
              <w:right w:val="single" w:color="auto" w:sz="4" w:space="0"/>
            </w:tcBorders>
          </w:tcPr>
          <w:p w14:paraId="5440D105">
            <w:pPr>
              <w:spacing w:after="0"/>
              <w:jc w:val="both"/>
              <w:rPr>
                <w:szCs w:val="24"/>
              </w:rPr>
            </w:pPr>
            <w:r>
              <w:rPr>
                <w:szCs w:val="24"/>
              </w:rPr>
              <w:t>Manufacturing Capacity Utilisation</w:t>
            </w:r>
          </w:p>
        </w:tc>
        <w:tc>
          <w:tcPr>
            <w:tcW w:w="2880" w:type="dxa"/>
            <w:tcBorders>
              <w:top w:val="single" w:color="auto" w:sz="4" w:space="0"/>
              <w:left w:val="single" w:color="auto" w:sz="4" w:space="0"/>
              <w:bottom w:val="single" w:color="auto" w:sz="4" w:space="0"/>
              <w:right w:val="single" w:color="auto" w:sz="4" w:space="0"/>
            </w:tcBorders>
            <w:vAlign w:val="center"/>
          </w:tcPr>
          <w:p w14:paraId="559F8D8C">
            <w:pPr>
              <w:spacing w:after="0"/>
              <w:jc w:val="both"/>
              <w:rPr>
                <w:szCs w:val="24"/>
              </w:rPr>
            </w:pPr>
            <w:r>
              <w:rPr>
                <w:szCs w:val="24"/>
              </w:rPr>
              <w:t>Below optimal</w:t>
            </w:r>
          </w:p>
        </w:tc>
      </w:tr>
      <w:tr w14:paraId="018C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65" w:type="dxa"/>
            <w:tcBorders>
              <w:top w:val="single" w:color="auto" w:sz="4" w:space="0"/>
              <w:left w:val="single" w:color="auto" w:sz="4" w:space="0"/>
              <w:bottom w:val="single" w:color="auto" w:sz="4" w:space="0"/>
              <w:right w:val="single" w:color="auto" w:sz="4" w:space="0"/>
            </w:tcBorders>
          </w:tcPr>
          <w:p w14:paraId="37255CB9">
            <w:pPr>
              <w:spacing w:after="0"/>
              <w:jc w:val="both"/>
              <w:rPr>
                <w:szCs w:val="24"/>
              </w:rPr>
            </w:pPr>
            <w:r>
              <w:rPr>
                <w:szCs w:val="24"/>
              </w:rPr>
              <w:t>Energy Cost</w:t>
            </w:r>
          </w:p>
        </w:tc>
        <w:tc>
          <w:tcPr>
            <w:tcW w:w="2880" w:type="dxa"/>
            <w:tcBorders>
              <w:top w:val="single" w:color="auto" w:sz="4" w:space="0"/>
              <w:left w:val="single" w:color="auto" w:sz="4" w:space="0"/>
              <w:bottom w:val="single" w:color="auto" w:sz="4" w:space="0"/>
              <w:right w:val="single" w:color="auto" w:sz="4" w:space="0"/>
            </w:tcBorders>
            <w:vAlign w:val="center"/>
          </w:tcPr>
          <w:p w14:paraId="2F62EF8A">
            <w:pPr>
              <w:spacing w:after="0"/>
              <w:jc w:val="both"/>
              <w:rPr>
                <w:szCs w:val="24"/>
              </w:rPr>
            </w:pPr>
            <w:r>
              <w:rPr>
                <w:szCs w:val="24"/>
              </w:rPr>
              <w:t>Rising</w:t>
            </w:r>
          </w:p>
        </w:tc>
      </w:tr>
      <w:tr w14:paraId="50364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65" w:type="dxa"/>
            <w:tcBorders>
              <w:top w:val="single" w:color="auto" w:sz="4" w:space="0"/>
              <w:left w:val="single" w:color="auto" w:sz="4" w:space="0"/>
              <w:bottom w:val="single" w:color="auto" w:sz="4" w:space="0"/>
              <w:right w:val="single" w:color="auto" w:sz="4" w:space="0"/>
            </w:tcBorders>
          </w:tcPr>
          <w:p w14:paraId="7BDF09ED">
            <w:pPr>
              <w:spacing w:after="0"/>
              <w:jc w:val="both"/>
              <w:rPr>
                <w:szCs w:val="24"/>
              </w:rPr>
            </w:pPr>
            <w:r>
              <w:rPr>
                <w:szCs w:val="24"/>
              </w:rPr>
              <w:t>FX Availability</w:t>
            </w:r>
          </w:p>
        </w:tc>
        <w:tc>
          <w:tcPr>
            <w:tcW w:w="2880" w:type="dxa"/>
            <w:tcBorders>
              <w:top w:val="single" w:color="auto" w:sz="4" w:space="0"/>
              <w:left w:val="single" w:color="auto" w:sz="4" w:space="0"/>
              <w:bottom w:val="single" w:color="auto" w:sz="4" w:space="0"/>
              <w:right w:val="single" w:color="auto" w:sz="4" w:space="0"/>
            </w:tcBorders>
            <w:vAlign w:val="center"/>
          </w:tcPr>
          <w:p w14:paraId="368CBCDD">
            <w:pPr>
              <w:spacing w:after="0"/>
              <w:jc w:val="both"/>
              <w:rPr>
                <w:szCs w:val="24"/>
              </w:rPr>
            </w:pPr>
            <w:r>
              <w:rPr>
                <w:szCs w:val="24"/>
              </w:rPr>
              <w:t>Constrained</w:t>
            </w:r>
          </w:p>
        </w:tc>
      </w:tr>
    </w:tbl>
    <w:p w14:paraId="4C84556F">
      <w:pPr>
        <w:pStyle w:val="12"/>
        <w:jc w:val="both"/>
        <w:rPr>
          <w:rStyle w:val="25"/>
          <w:rFonts w:ascii="Times New Roman" w:hAnsi="Times New Roman" w:eastAsia="SimSun" w:cs="Times New Roman"/>
        </w:rPr>
      </w:pPr>
      <w:r>
        <w:t>Source: Manufacturers Association of Nigeria (2024).</w:t>
      </w:r>
    </w:p>
    <w:p w14:paraId="0BCE6D80">
      <w:pPr>
        <w:spacing w:before="240"/>
        <w:jc w:val="both"/>
        <w:rPr>
          <w:rFonts w:eastAsia="Calibri"/>
          <w:szCs w:val="24"/>
        </w:rPr>
      </w:pPr>
      <w:r>
        <w:rPr>
          <w:rFonts w:eastAsia="Calibri"/>
          <w:b/>
          <w:bCs/>
          <w:szCs w:val="24"/>
        </w:rPr>
        <w:t>7. COMPARATIVE LESSONS IN GOVERNANCE AND NATIONAL DEVELOPMENT</w:t>
      </w:r>
    </w:p>
    <w:p w14:paraId="094B89BE">
      <w:pPr>
        <w:spacing w:before="240"/>
        <w:jc w:val="both"/>
        <w:rPr>
          <w:rFonts w:eastAsia="Calibri"/>
          <w:szCs w:val="24"/>
        </w:rPr>
      </w:pPr>
      <w:r>
        <w:rPr>
          <w:rFonts w:eastAsia="Calibri"/>
          <w:szCs w:val="24"/>
        </w:rPr>
        <w:t xml:space="preserve">There is evidence from a number of places throughout the world that the wealth of natural resources is not sufficient, by itself, to define a nation’s capacity for sustainable development. Often the importance resides in the quality of the institutions that control the administration of a country’s resources and supervise its economic and social activities. There are many examples of countries with few natural resources that have become very prosperous because they deliberately set up institutions that encourage investment, entrepreneurship, accountability, human capital development, and a stable environment in which citizens and businesses can plan. </w:t>
      </w:r>
    </w:p>
    <w:p w14:paraId="31EFE104">
      <w:pPr>
        <w:spacing w:before="240"/>
        <w:jc w:val="both"/>
        <w:rPr>
          <w:rFonts w:eastAsia="Calibri"/>
          <w:szCs w:val="24"/>
        </w:rPr>
      </w:pPr>
      <w:r>
        <w:rPr>
          <w:rFonts w:eastAsia="Calibri"/>
          <w:szCs w:val="24"/>
        </w:rPr>
        <w:t>For Nigeria, the question should not be whether it has enough resources for growth. It does indeed. Are the institutions that govern such resources competent, accountable and development-oriented enough to translate national potential into broad-based prosperity? The experiences of these countries are instructive but their variations must be taken into account.</w:t>
      </w:r>
    </w:p>
    <w:p w14:paraId="5A98299F">
      <w:pPr>
        <w:spacing w:before="240"/>
        <w:jc w:val="both"/>
        <w:rPr>
          <w:rFonts w:eastAsia="Calibri"/>
          <w:b/>
          <w:bCs/>
          <w:szCs w:val="24"/>
        </w:rPr>
      </w:pPr>
      <w:r>
        <w:rPr>
          <w:rFonts w:eastAsia="Calibri"/>
          <w:b/>
          <w:bCs/>
          <w:szCs w:val="24"/>
        </w:rPr>
        <w:t>7.1 Singapore: The Foundations of Progress</w:t>
      </w:r>
    </w:p>
    <w:p w14:paraId="1A81AA6E">
      <w:pPr>
        <w:spacing w:before="240"/>
        <w:jc w:val="both"/>
        <w:rPr>
          <w:rFonts w:eastAsia="Calibri"/>
          <w:szCs w:val="24"/>
        </w:rPr>
      </w:pPr>
      <w:r>
        <w:rPr>
          <w:rFonts w:eastAsia="Calibri"/>
          <w:szCs w:val="24"/>
        </w:rPr>
        <w:t xml:space="preserve">Singapore is a case in point of how effective governance can be if there are severe structural constraints. Singapore was an independent nation back in 1965 when the country was short of natural resources, little arable land, little internal market and also had a lot of economic instability. It began as a small town but no one would have thought that it would develop to be a banking, trading, technological and logistic hub of international standards. This growth in Singapore is no accident. This was accomplished by a conscious design for an efficient, more or less regulated public administration. Employment on basis of merit, investment in education and human resources, suitable infrastructure, good institutions and uniformity of policies created a better environment for more confidence of domestic and foreign companies. Singapore is just one case in point of a relatively poor nation that is nonetheless rich, as long as it has the institutions that are able to make the best use of the natural resources it has. National attributes such as human resources, institutional capacity, infrastructure and strategic vision and policy coherence are strong assets to the nation in their own right.  </w:t>
      </w:r>
    </w:p>
    <w:p w14:paraId="7B74067D">
      <w:pPr>
        <w:spacing w:before="240"/>
        <w:jc w:val="both"/>
        <w:rPr>
          <w:rFonts w:eastAsia="Calibri"/>
          <w:szCs w:val="24"/>
        </w:rPr>
      </w:pPr>
      <w:r>
        <w:rPr>
          <w:rFonts w:eastAsia="Calibri"/>
          <w:szCs w:val="24"/>
        </w:rPr>
        <w:t xml:space="preserve">This is very critical information in Nigeria. Singapore just doesn't have the resources to do something like this. It's not simply a matter of resources. The ability to coordinate, control and utilize them in a way that can bring sustainable benefits to the nation. </w:t>
      </w:r>
    </w:p>
    <w:p w14:paraId="2D29E305">
      <w:pPr>
        <w:spacing w:before="240"/>
        <w:jc w:val="both"/>
        <w:rPr>
          <w:rFonts w:eastAsia="Calibri"/>
          <w:b/>
          <w:bCs/>
          <w:szCs w:val="24"/>
        </w:rPr>
      </w:pPr>
      <w:r>
        <w:rPr>
          <w:rFonts w:eastAsia="Calibri"/>
          <w:b/>
          <w:bCs/>
          <w:szCs w:val="24"/>
        </w:rPr>
        <w:t xml:space="preserve">7.2 Rwanda: Rebuilding Institutions and Regaining Public Confidence </w:t>
      </w:r>
    </w:p>
    <w:p w14:paraId="3AF7092A">
      <w:pPr>
        <w:spacing w:before="240"/>
        <w:jc w:val="both"/>
        <w:rPr>
          <w:rFonts w:eastAsia="Calibri"/>
          <w:szCs w:val="24"/>
        </w:rPr>
      </w:pPr>
      <w:r>
        <w:rPr>
          <w:rFonts w:eastAsia="Calibri"/>
          <w:szCs w:val="24"/>
        </w:rPr>
        <w:t xml:space="preserve">A good one exists in Africa in Rwanda. The nation has been faced with a huge task to rebuild its physical infrastructure, institutions, economy and social fabric following the 1994 genocide. Without public trust and in a place where people, companies and investors can get ready for the future, the economy will not recover. In the 2000s and 2010s, Rwanda has successfully undertaken a series of organizational and administrative reforms that have helped improve the effectiveness and accountability of public institutions, combat corruption, provide digital services and create a more conducive economic climate. These changes have contributed to the improvement of several facets of the economic and social development. The Rwandan experience has to be evaluated in the context of the particular political and institutional framework in Rwanda, which differs from that in Nigeria. But one principle should be kept in mind: The quality of the organization of a community's institutions can mean the difference between its ability to recover from catastrophe and to create stability in the process. </w:t>
      </w:r>
    </w:p>
    <w:p w14:paraId="32275BA3">
      <w:pPr>
        <w:spacing w:before="240"/>
        <w:jc w:val="both"/>
        <w:rPr>
          <w:rFonts w:eastAsia="Calibri"/>
          <w:szCs w:val="24"/>
        </w:rPr>
      </w:pPr>
      <w:r>
        <w:rPr>
          <w:rFonts w:eastAsia="Calibri"/>
          <w:szCs w:val="24"/>
        </w:rPr>
        <w:t xml:space="preserve">Nigeria should not emulate Rwanda's political system, but understand the role of robust institutions, good governance, technological innovation, and a well-defined development vision. In such a situation where a country has to overcome their huge structural problems and regain the trust of public, there is increased need of good governance. </w:t>
      </w:r>
    </w:p>
    <w:p w14:paraId="2AF34BB7">
      <w:pPr>
        <w:pStyle w:val="3"/>
        <w:jc w:val="both"/>
        <w:rPr>
          <w:rFonts w:ascii="Times New Roman" w:hAnsi="Times New Roman" w:eastAsia="Times New Roman" w:cs="Times New Roman"/>
          <w:b/>
          <w:bCs/>
          <w:color w:val="auto"/>
          <w:sz w:val="24"/>
          <w:szCs w:val="24"/>
        </w:rPr>
      </w:pPr>
      <w:r>
        <w:rPr>
          <w:rFonts w:ascii="Times New Roman" w:hAnsi="Times New Roman" w:cs="Times New Roman"/>
          <w:b/>
          <w:bCs/>
          <w:color w:val="auto"/>
          <w:sz w:val="24"/>
          <w:szCs w:val="24"/>
        </w:rPr>
        <w:t xml:space="preserve">7.3 Botswana: Managing Natural Resource Wealth Responsibly </w:t>
      </w:r>
    </w:p>
    <w:p w14:paraId="52AC7A9B">
      <w:pPr>
        <w:spacing w:before="240"/>
        <w:jc w:val="both"/>
        <w:rPr>
          <w:rFonts w:eastAsia="Calibri"/>
          <w:szCs w:val="24"/>
        </w:rPr>
      </w:pPr>
      <w:r>
        <w:rPr>
          <w:rFonts w:eastAsia="Calibri"/>
          <w:szCs w:val="24"/>
        </w:rPr>
        <w:t xml:space="preserve">A more relevant Botswana than it is in Nigeria could be the Botswana that also has massive natural-resource resources. Diamonds can have been blamed for over-dependence, financial fluctuations, corruption or political turmoil. It did develop organisations and regulations, however, that allowed it to be successful in controlling its mining resources. Diamonds were used for the funds to be raised for national development and expenditure. The institutions and institutions of government were comparatively weak, there was almost no corruption, economic caution and foresight and the effects of too much dependence upon resources were not as serious as they might have been. Botswana demonstrates how positive or negative natural resources can be. They have developmental impact that is very dependent on the level of the entities that oversee them. </w:t>
      </w:r>
    </w:p>
    <w:p w14:paraId="3DE85EF4">
      <w:pPr>
        <w:spacing w:before="240"/>
        <w:jc w:val="both"/>
        <w:rPr>
          <w:rFonts w:eastAsia="Calibri"/>
          <w:szCs w:val="24"/>
        </w:rPr>
      </w:pPr>
      <w:r>
        <w:rPr>
          <w:rFonts w:eastAsia="Calibri"/>
          <w:szCs w:val="24"/>
        </w:rPr>
        <w:t>The lesson is of great relevance to Nigeria. The issue is not about scarcity of oil/gas and solid minerals, arable land or any other natural endowment. The more significant issue is the extent to which the income generated from these resources is also reflected in the infrastructure, human capital, productive capacity and opportunities for the future generation.</w:t>
      </w:r>
    </w:p>
    <w:p w14:paraId="168F9DE5">
      <w:pPr>
        <w:spacing w:before="240"/>
        <w:jc w:val="both"/>
        <w:rPr>
          <w:rFonts w:eastAsia="Calibri"/>
          <w:b/>
          <w:bCs/>
          <w:szCs w:val="24"/>
        </w:rPr>
      </w:pPr>
      <w:r>
        <w:rPr>
          <w:rFonts w:eastAsia="Calibri"/>
          <w:b/>
          <w:bCs/>
          <w:szCs w:val="24"/>
        </w:rPr>
        <w:t xml:space="preserve">7.4 Mauritius: Strategic diversification plan </w:t>
      </w:r>
    </w:p>
    <w:p w14:paraId="1EA91935">
      <w:pPr>
        <w:spacing w:before="240"/>
        <w:jc w:val="both"/>
        <w:rPr>
          <w:rFonts w:eastAsia="Calibri"/>
          <w:szCs w:val="24"/>
        </w:rPr>
      </w:pPr>
      <w:r>
        <w:rPr>
          <w:rFonts w:eastAsia="Calibri"/>
          <w:szCs w:val="24"/>
        </w:rPr>
        <w:t xml:space="preserve">Mauritius gives us a good lesson, particularly with regard to economic diversification. Until it became a modern country, the economy of the nation was mainly sugar based. The cornerstone of the economy has been one product, while successive governments have tried to diversify the economy. Gradually, the capital started to be redirected towards tourism, industry, financial services, education and information and communication technology. These are sectors that have been nurtured by political stability and institutional consistency, and the strengthening of human capital and the overall benign economic conditions. Economic development is no accident: Mauritius is a case study. Tactical decision making and consistency, institutional capacity and willingness to invest in industries that do not return immediate profits or pay off for a country in the short term. </w:t>
      </w:r>
    </w:p>
    <w:p w14:paraId="5838D6E0">
      <w:pPr>
        <w:spacing w:before="240"/>
        <w:jc w:val="both"/>
        <w:rPr>
          <w:rFonts w:eastAsia="Calibri"/>
          <w:szCs w:val="24"/>
        </w:rPr>
      </w:pPr>
      <w:r>
        <w:rPr>
          <w:rFonts w:eastAsia="Calibri"/>
          <w:szCs w:val="24"/>
        </w:rPr>
        <w:t xml:space="preserve">Nigeria has been talking about diversifying its economy for several years now. It isn't because the government doesn't know they need to diversify their economy, since it is now more reliant on oil income. The hard part is to make it happen. Supporting strategic objectives in the absence of a political swing necessitates policy continuity, infrastructure, skills, financing, technology and institutions. </w:t>
      </w:r>
    </w:p>
    <w:p w14:paraId="17983A4D">
      <w:pPr>
        <w:pStyle w:val="3"/>
        <w:jc w:val="both"/>
        <w:rPr>
          <w:rFonts w:ascii="Times New Roman" w:hAnsi="Times New Roman" w:eastAsia="Times New Roman" w:cs="Times New Roman"/>
          <w:b/>
          <w:bCs/>
          <w:color w:val="auto"/>
          <w:sz w:val="24"/>
          <w:szCs w:val="24"/>
        </w:rPr>
      </w:pPr>
      <w:r>
        <w:rPr>
          <w:rFonts w:ascii="Times New Roman" w:hAnsi="Times New Roman" w:cs="Times New Roman"/>
          <w:b/>
          <w:bCs/>
          <w:color w:val="auto"/>
          <w:sz w:val="24"/>
          <w:szCs w:val="24"/>
        </w:rPr>
        <w:t xml:space="preserve">7.5 United Arab Emirates: From Resource Wealth to Economic Diversification </w:t>
      </w:r>
    </w:p>
    <w:p w14:paraId="4601572A">
      <w:pPr>
        <w:spacing w:before="240"/>
        <w:jc w:val="both"/>
        <w:rPr>
          <w:rFonts w:eastAsia="Calibri"/>
          <w:szCs w:val="24"/>
        </w:rPr>
      </w:pPr>
      <w:r>
        <w:rPr>
          <w:rFonts w:eastAsia="Calibri"/>
          <w:szCs w:val="24"/>
        </w:rPr>
        <w:t>In UAE, experience is also special but because of the size of its oil reserves it is also significant. It's not an illustration of growth without having any type of resources at all, it's an illustration of actually how resources can catalyse that growth to make the economy much more diverse. It depended on the huge oil revenues of the government not least. It also put its money into the transport sector, aviation, logistics, financial services, technology, renewable energy and emerging industries. The sophistication of infrastructure, the investor-friendly regulations, particular economic and free-trade zones, as well as the implementation of sustainable development policy, have contributed in attracting international investments and broadening of the economic base.</w:t>
      </w:r>
    </w:p>
    <w:p w14:paraId="3C79D321">
      <w:pPr>
        <w:spacing w:before="240"/>
        <w:jc w:val="both"/>
        <w:rPr>
          <w:rFonts w:eastAsia="Calibri"/>
          <w:szCs w:val="24"/>
        </w:rPr>
      </w:pPr>
      <w:r>
        <w:rPr>
          <w:rFonts w:eastAsia="Calibri"/>
          <w:szCs w:val="24"/>
        </w:rPr>
        <w:t xml:space="preserve">Nigeria isn't the UAE. It should not be a facsimile of the UAE institutions and economics. There was a slight divide between the two countries on this issue. The number of resources is not only greater now, but they may be used to increase output at some future date. "In the rich countries there is a hard, but important question". When the resource is depleted or no longer viable, what is it's "legacy"? Good institutions, a more educated population, modern infrastructure, a variety of companies, technological knowledge and the capacity of the private sector to create wealth from existing resources is the answer. </w:t>
      </w:r>
    </w:p>
    <w:p w14:paraId="28A56FE8">
      <w:pPr>
        <w:pStyle w:val="3"/>
        <w:jc w:val="both"/>
        <w:rPr>
          <w:rFonts w:ascii="Times New Roman" w:hAnsi="Times New Roman" w:eastAsia="Times New Roman" w:cs="Times New Roman"/>
          <w:b/>
          <w:bCs/>
          <w:color w:val="auto"/>
          <w:sz w:val="24"/>
          <w:szCs w:val="24"/>
        </w:rPr>
      </w:pPr>
      <w:r>
        <w:rPr>
          <w:rFonts w:ascii="Times New Roman" w:hAnsi="Times New Roman" w:cs="Times New Roman"/>
          <w:b/>
          <w:bCs/>
          <w:color w:val="auto"/>
          <w:sz w:val="24"/>
          <w:szCs w:val="24"/>
        </w:rPr>
        <w:t xml:space="preserve">7.6 The Common Lesson: Institutions Create Confidence </w:t>
      </w:r>
    </w:p>
    <w:p w14:paraId="6DC2E5BB">
      <w:pPr>
        <w:spacing w:before="240"/>
        <w:jc w:val="both"/>
        <w:rPr>
          <w:rFonts w:eastAsia="Calibri"/>
          <w:szCs w:val="24"/>
        </w:rPr>
      </w:pPr>
      <w:r>
        <w:rPr>
          <w:rFonts w:eastAsia="Calibri"/>
          <w:szCs w:val="24"/>
        </w:rPr>
        <w:t xml:space="preserve">The countries have an entirely different history, form of government, physical features, population and cultural life and access to natural resources. Nigeria should not just follow the path of these countries. One thing they learned from these experiences is that development is more sustainable if institutions are able to build trust, reduce uncertainty and harmonize public policies with national trajectories over the long-term. When investors are aware of the rules governing the situation, and have sound reason to believe that the rules will be obeyed going forward, they are much more likely to invest. The more secure and predictable that property rights are, and business is done, the more likely that an entrepreneur will engage in something that is innovative. People will get along better and be more credible and accepted if they think they will be dealing with policies. An environment that supports knowledge, creativity, and intellectual capacity bestows the best conditions for the academic atmosphere as well as for the research institutions. Therefore, the reason for separating governance from political administration. </w:t>
      </w:r>
    </w:p>
    <w:p w14:paraId="68F41797">
      <w:pPr>
        <w:spacing w:before="240"/>
        <w:jc w:val="both"/>
        <w:rPr>
          <w:rFonts w:eastAsia="Calibri"/>
          <w:szCs w:val="24"/>
        </w:rPr>
      </w:pPr>
      <w:r>
        <w:rPr>
          <w:rFonts w:eastAsia="Calibri"/>
          <w:szCs w:val="24"/>
        </w:rPr>
        <w:t xml:space="preserve">Governance has an economic value in itself. It influences the cost of doing business, the appetite of investors to deploy their funds, the sustainability of businesses, the quality of infrastructure, the quality of public services, the development of human capital, the pace of technological progress and the ability of the government to respond to new challenges. In simple terms, “governance” influences the quality of life of the population. </w:t>
      </w:r>
    </w:p>
    <w:p w14:paraId="7739E1FB">
      <w:pPr>
        <w:pStyle w:val="3"/>
        <w:jc w:val="both"/>
        <w:rPr>
          <w:rFonts w:ascii="Times New Roman" w:hAnsi="Times New Roman" w:eastAsia="Times New Roman" w:cs="Times New Roman"/>
          <w:b/>
          <w:bCs/>
          <w:color w:val="auto"/>
          <w:sz w:val="24"/>
          <w:szCs w:val="24"/>
        </w:rPr>
      </w:pPr>
      <w:r>
        <w:rPr>
          <w:rFonts w:ascii="Times New Roman" w:hAnsi="Times New Roman" w:cs="Times New Roman"/>
          <w:b/>
          <w:bCs/>
          <w:color w:val="auto"/>
          <w:sz w:val="24"/>
          <w:szCs w:val="24"/>
        </w:rPr>
        <w:t xml:space="preserve">7.7 What Nigeria Can Learn </w:t>
      </w:r>
    </w:p>
    <w:p w14:paraId="029F4A21">
      <w:pPr>
        <w:spacing w:before="240"/>
        <w:jc w:val="both"/>
        <w:rPr>
          <w:rFonts w:eastAsia="Calibri"/>
          <w:szCs w:val="24"/>
        </w:rPr>
      </w:pPr>
      <w:r>
        <w:rPr>
          <w:rFonts w:eastAsia="Calibri"/>
          <w:szCs w:val="24"/>
        </w:rPr>
        <w:t xml:space="preserve">The overall lesson for Nigeria is not to copy the policies of Singapore, Rwanda, Botswana, Mauritius or the United Arab Emirates. Nations have arisen in a certain historical and institutional setting. The main lesson for Nigeria is that national development needs institutions that can turn resources into lasting value. </w:t>
      </w:r>
    </w:p>
    <w:p w14:paraId="33EB95DA">
      <w:pPr>
        <w:spacing w:before="240"/>
        <w:jc w:val="both"/>
        <w:rPr>
          <w:rFonts w:eastAsia="Calibri"/>
          <w:szCs w:val="24"/>
        </w:rPr>
      </w:pPr>
      <w:r>
        <w:rPr>
          <w:rFonts w:eastAsia="Calibri"/>
          <w:szCs w:val="24"/>
        </w:rPr>
        <w:t xml:space="preserve">Nigeria is a resource rich nation. It has petroleum and natural gas reserves, rich mineral deposits, immense agricultural potential, a large domestic market, a youthful population, industrious people, academic and research institutes and a bustling commercial scene. These resources have not, however, unambiguously led to similar improvements in quality of life. What is important to look at is the difference between capability and execution. Government action will not fill the gap. What is needed are better institutions, consistency in policy, accountability, effective public administration, investment in human resources, infrastructure that fosters economic activity, and a regulatory environment that facilitates rather than impedes industry. </w:t>
      </w:r>
    </w:p>
    <w:p w14:paraId="6FE09912">
      <w:pPr>
        <w:spacing w:before="240"/>
        <w:jc w:val="both"/>
        <w:rPr>
          <w:rFonts w:eastAsia="Calibri"/>
          <w:szCs w:val="24"/>
        </w:rPr>
      </w:pPr>
      <w:r>
        <w:rPr>
          <w:rFonts w:eastAsia="Calibri"/>
          <w:szCs w:val="24"/>
        </w:rPr>
        <w:t xml:space="preserve">It also means the government can't do everything by itself. The experience of the countries that have thrived and are developing is that the major role of government in the development is to create an enabling environment for others to participate effectively. Create jobs and investment dollars. Institutions of higher learning are sources of knowledge and production of human resources. Civil society will ensure accountability among persons. Specialised expertise in authorised organisations. Communities provide social capital and local knowledge. The people are the lifeblood of the development of the economy and society. The government is not responsible for directing all aspects of national advancement. Its principal role is to develop and maintain the institutional infrastructure that allows the many parties to work together efficiently. </w:t>
      </w:r>
    </w:p>
    <w:p w14:paraId="165D4652">
      <w:pPr>
        <w:spacing w:before="240"/>
        <w:jc w:val="both"/>
        <w:rPr>
          <w:rFonts w:eastAsia="Calibri"/>
          <w:szCs w:val="24"/>
        </w:rPr>
      </w:pPr>
      <w:r>
        <w:rPr>
          <w:rFonts w:eastAsia="Calibri"/>
          <w:szCs w:val="24"/>
        </w:rPr>
        <w:t xml:space="preserve">And that’s where we come back to the theme of our discussion. Strategic management, corporate social responsibility, corporate governance and national development are interrelated and interdependent concerns. They are part of a larger system of state administration and institution building. The prospects for sustainable national transformation are significantly improved if the government provides leadership, stability, infrastructure, effective regulation and accountability; if the conduct of business is responsible and strategic; if the universities produce relevant knowledge; and if the citizens and civil society participate constructively. Thus, the information at a global scale implies a simple but important inference. Good governance is not just administration. It is a vital determinant of a country’s destiny. </w:t>
      </w:r>
    </w:p>
    <w:p w14:paraId="135F7828">
      <w:pPr>
        <w:spacing w:before="240"/>
        <w:jc w:val="both"/>
        <w:rPr>
          <w:rFonts w:eastAsia="Calibri"/>
          <w:szCs w:val="24"/>
        </w:rPr>
      </w:pPr>
      <w:r>
        <w:rPr>
          <w:rFonts w:eastAsia="Calibri"/>
          <w:szCs w:val="24"/>
        </w:rPr>
        <w:t>What Nigeria needs is not to look for another natural resource to solve its developmental problem. There are enough resources in the nation. What is necessary is institutional capability, strategic governance, ethical corporate conduct, and a concerted resolve to translate those resources into permanent national goals.</w:t>
      </w:r>
    </w:p>
    <w:p w14:paraId="50914B21">
      <w:pPr>
        <w:spacing w:before="240"/>
        <w:jc w:val="both"/>
        <w:rPr>
          <w:rFonts w:eastAsia="Calibri"/>
          <w:szCs w:val="24"/>
        </w:rPr>
      </w:pPr>
      <w:r>
        <w:rPr>
          <w:rFonts w:eastAsia="Calibri"/>
          <w:b/>
          <w:bCs/>
          <w:szCs w:val="24"/>
        </w:rPr>
        <w:t>8. CONCEPTUAL AND THEORETICAL FOUNDATION</w:t>
      </w:r>
    </w:p>
    <w:p w14:paraId="70FC1E75">
      <w:pPr>
        <w:spacing w:before="240"/>
        <w:jc w:val="both"/>
        <w:rPr>
          <w:rFonts w:eastAsia="Calibri"/>
          <w:szCs w:val="24"/>
        </w:rPr>
      </w:pPr>
      <w:r>
        <w:rPr>
          <w:rFonts w:eastAsia="Calibri"/>
          <w:szCs w:val="24"/>
        </w:rPr>
        <w:t xml:space="preserve">The evidence indicates the problem; the theories help explain its persistence. The arguments developed in this lecture are based on a few established theoretical perspectives that help us understand the relationship between organisations, institutions, government and society. These theories provide the intellectual basis for explaining why governance matters for development and why no organization, however powerful or successful, can function effectively in isolation from the society in which it exists. </w:t>
      </w:r>
    </w:p>
    <w:p w14:paraId="132956CF">
      <w:pPr>
        <w:spacing w:before="240"/>
        <w:jc w:val="both"/>
        <w:rPr>
          <w:rFonts w:eastAsia="Calibri"/>
          <w:szCs w:val="24"/>
        </w:rPr>
      </w:pPr>
      <w:r>
        <w:rPr>
          <w:rFonts w:eastAsia="Calibri"/>
          <w:szCs w:val="24"/>
        </w:rPr>
        <w:t xml:space="preserve">Five theoretical perspectives are particularly relevant for the argument of this lecture: Stakeholder Theory, Institutional Theory, Legitimacy Theory, Corporate Governance Theory and the Triple Bottom Line. The theories each take different approaches to the question, but they converge on an important proposition: organisational and national success cannot be sustained without responsible decision-making, credible institutions, accountability, stakeholder engagement and attention to long-term social and environmental consequences. </w:t>
      </w:r>
    </w:p>
    <w:p w14:paraId="33F3F0AF">
      <w:pPr>
        <w:spacing w:before="240"/>
        <w:jc w:val="both"/>
        <w:rPr>
          <w:rFonts w:eastAsia="Calibri"/>
          <w:szCs w:val="24"/>
        </w:rPr>
      </w:pPr>
      <w:r>
        <w:rPr>
          <w:rFonts w:eastAsia="Calibri"/>
          <w:szCs w:val="24"/>
        </w:rPr>
        <w:t xml:space="preserve">Taken together these perspectives provide a useful theoretical bridge between Corporate Social Responsibility, strategic management, corporate governance and national development. </w:t>
      </w:r>
    </w:p>
    <w:p w14:paraId="306526DE">
      <w:pPr>
        <w:spacing w:before="240"/>
        <w:jc w:val="both"/>
        <w:rPr>
          <w:rFonts w:eastAsia="Calibri"/>
          <w:b/>
          <w:bCs/>
          <w:szCs w:val="24"/>
        </w:rPr>
      </w:pPr>
      <w:r>
        <w:rPr>
          <w:rFonts w:eastAsia="Calibri"/>
          <w:b/>
          <w:bCs/>
          <w:szCs w:val="24"/>
        </w:rPr>
        <w:t xml:space="preserve">8.1. Stakeholder Theory </w:t>
      </w:r>
    </w:p>
    <w:p w14:paraId="3390DC74">
      <w:pPr>
        <w:spacing w:before="240"/>
        <w:jc w:val="both"/>
        <w:rPr>
          <w:rFonts w:eastAsia="Calibri"/>
          <w:szCs w:val="24"/>
        </w:rPr>
      </w:pPr>
      <w:r>
        <w:rPr>
          <w:rFonts w:eastAsia="Calibri"/>
          <w:szCs w:val="24"/>
        </w:rPr>
        <w:t xml:space="preserve">Stakeholder Theory is one of the most useful frameworks to understand how organisations create, sustain and distribute value. Freeman (1984) challenged the narrow view of the organization as an entity whose primary task is to maximise returns to its shareholders or owners. Organisations exist in a web of relationships with employees, customers, suppliers, investors, governments, communities and wider society, he said. The stakeholders in a national development system are citizens, firms, employees, communities, universities, investors, regulators, professional associations, civil society and development partners. Empirically, it contributes to encouraging the measurement of participation, collaboration, trust between stakeholders, conflict and complementary resources, rather than assuming that the government can produce development independently. </w:t>
      </w:r>
    </w:p>
    <w:p w14:paraId="576624C2">
      <w:pPr>
        <w:spacing w:before="240"/>
        <w:jc w:val="both"/>
        <w:rPr>
          <w:rFonts w:eastAsia="Calibri"/>
          <w:szCs w:val="24"/>
        </w:rPr>
      </w:pPr>
      <w:r>
        <w:rPr>
          <w:rFonts w:eastAsia="Calibri"/>
          <w:szCs w:val="24"/>
        </w:rPr>
        <w:t xml:space="preserve">The point is simple. An organization cannot be sustainably successful if it focuses only on financial returns and ignores the interests of those who contribute to, influence or are affected by its activities. Employees expect fair treatment, good working conditions and opportunities for development. Customers want quality, reliability and good value. Suppliers need fair and predictable business relationships. Communities expect corporate responsibility. Governments and regulators expect organisations to obey existing laws and standards. </w:t>
      </w:r>
    </w:p>
    <w:p w14:paraId="049CFF6C">
      <w:pPr>
        <w:spacing w:before="240"/>
        <w:jc w:val="both"/>
        <w:rPr>
          <w:rFonts w:eastAsia="Calibri"/>
          <w:szCs w:val="24"/>
        </w:rPr>
      </w:pPr>
      <w:r>
        <w:rPr>
          <w:rFonts w:eastAsia="Calibri"/>
          <w:szCs w:val="24"/>
        </w:rPr>
        <w:t xml:space="preserve">National development should not be equated to increases in Gross Domestic Product, government revenue or foreign investment. In the final analysis, development should lead to an improvement in the quality of life of citizens and the opening up of meaningful opportunities for the various segments of society. The national development process involves government, business organisations, universities, civil society organisations, communities and citizens as stakeholders. They each have interests, responsibilities and expectations that cannot be brushed aside. Strategic decisions, whether at the organisational or national level, must therefore take into account the wider community of stakeholders affected by those decisions. </w:t>
      </w:r>
    </w:p>
    <w:p w14:paraId="15FF76A7">
      <w:pPr>
        <w:spacing w:before="240"/>
        <w:jc w:val="both"/>
        <w:rPr>
          <w:rFonts w:eastAsia="Calibri"/>
          <w:b/>
          <w:bCs/>
          <w:szCs w:val="24"/>
        </w:rPr>
      </w:pPr>
      <w:r>
        <w:rPr>
          <w:rFonts w:eastAsia="Calibri"/>
          <w:b/>
          <w:bCs/>
          <w:szCs w:val="24"/>
        </w:rPr>
        <w:t xml:space="preserve">8.2 The institutional theory </w:t>
      </w:r>
    </w:p>
    <w:p w14:paraId="0477A2CA">
      <w:pPr>
        <w:spacing w:before="240"/>
        <w:jc w:val="both"/>
        <w:rPr>
          <w:rFonts w:eastAsia="Calibri"/>
          <w:szCs w:val="24"/>
        </w:rPr>
      </w:pPr>
      <w:r>
        <w:rPr>
          <w:rFonts w:eastAsia="Calibri"/>
          <w:szCs w:val="24"/>
        </w:rPr>
        <w:t xml:space="preserve">If Stakeholder Theory helps us understand who is important in the development process, Institutional Theory helps us understand the environment within which development decisions are made and implemented. Institutional Theory examines the impact of formal and informal institutions on organisational behaviour. As Scott (2014) describes, organisations are embedded in institutional settings determined by legal and regulatory systems, social norms and values, expectations and established routines. Hence, organisations do not operate in a vacuum. They are heavily influenced by the institutional systems that surround them in their strategies and actions. Institutional Theory describes how formal rules, norms, routines and pasts shape behaviour. SGDAF uses institutional theory to explain how theoretically similar policies can yield different results in distinct environments. Institutional capability goes beyond the number of people or amount of the budget; it involves processes, information systems, coordination, professional competency and organisational learning. </w:t>
      </w:r>
    </w:p>
    <w:p w14:paraId="7CACC2BF">
      <w:pPr>
        <w:spacing w:before="240"/>
        <w:jc w:val="both"/>
        <w:rPr>
          <w:rFonts w:eastAsia="Calibri"/>
          <w:szCs w:val="24"/>
        </w:rPr>
      </w:pPr>
      <w:r>
        <w:rPr>
          <w:rFonts w:eastAsia="Calibri"/>
          <w:szCs w:val="24"/>
        </w:rPr>
        <w:t xml:space="preserve">Where institutions are strong organisations and individuals are more likely to work in an environment of predictability, accountability, continuity and trust. Greater transparency of rules, greater consistency of regulations, greater honouring of contracts and greater capacity of public institutions to enforce norms. Conversely, the outcomes can be entirely different where institutions are weak. Policy inconsistency, poor implementation, bureaucratic inefficiency, inadequate enforcement, corruption, institutional instability and deteriorating public confidence may prove to be the recurrent features of the system. </w:t>
      </w:r>
    </w:p>
    <w:p w14:paraId="0AB80F67">
      <w:pPr>
        <w:spacing w:before="240"/>
        <w:jc w:val="both"/>
        <w:rPr>
          <w:rFonts w:eastAsia="Calibri"/>
          <w:szCs w:val="24"/>
        </w:rPr>
      </w:pPr>
      <w:r>
        <w:rPr>
          <w:rFonts w:eastAsia="Calibri"/>
          <w:szCs w:val="24"/>
        </w:rPr>
        <w:t xml:space="preserve">This approach is particularly helpful in assessing the Nigerian development experience. Nigeria is endowed with enormous natural resources, a large and youthful population, strong entrepreneurial capacity and enormous economic potential. However, these resources have not always led to corresponding gains in the wellbeing of the inhabitants. The solution is not merely in terms of availability or no resources. We also have to look at the institutions that translate resources into development outcomes. Who makes the rules? Who’s implementing? Who is the target audience? Who enforces the rules? Who is holding decision makers to account? And what about when institutions don’t do their allocated responsibilities? Institutional Theory therefore reveals an important truth: development is not an issue of resources or the declaration of lofty ideals. It requires institutions that can convert intentions into measurable results. Sustainable transformation in Nigeria requires trustworthy, competent and resilient institutions. Equally important is that such institutions must be able to function effectively beyond the tenure, personality or political interests of individuals. </w:t>
      </w:r>
    </w:p>
    <w:p w14:paraId="52339931">
      <w:pPr>
        <w:spacing w:before="240"/>
        <w:jc w:val="both"/>
        <w:rPr>
          <w:rFonts w:eastAsia="Calibri"/>
          <w:b/>
          <w:bCs/>
          <w:szCs w:val="24"/>
        </w:rPr>
      </w:pPr>
      <w:r>
        <w:rPr>
          <w:rFonts w:eastAsia="Calibri"/>
          <w:b/>
          <w:bCs/>
          <w:szCs w:val="24"/>
        </w:rPr>
        <w:t>8.3 Legitimacy Theory</w:t>
      </w:r>
    </w:p>
    <w:p w14:paraId="2088BE2D">
      <w:pPr>
        <w:spacing w:before="240"/>
        <w:jc w:val="both"/>
        <w:rPr>
          <w:rFonts w:eastAsia="Calibri"/>
          <w:szCs w:val="24"/>
        </w:rPr>
      </w:pPr>
      <w:r>
        <w:rPr>
          <w:rFonts w:eastAsia="Calibri"/>
          <w:szCs w:val="24"/>
        </w:rPr>
        <w:t xml:space="preserve">Institutional Theory is concerned with the structures and systems within which organisations operate. Legitimacy Theory highlights the relationship between organisations and the society whose acceptance and confidence they seek. </w:t>
      </w:r>
    </w:p>
    <w:p w14:paraId="38F481DD">
      <w:pPr>
        <w:spacing w:before="240"/>
        <w:jc w:val="both"/>
        <w:rPr>
          <w:rFonts w:eastAsia="Calibri"/>
          <w:szCs w:val="24"/>
        </w:rPr>
      </w:pPr>
      <w:r>
        <w:rPr>
          <w:rFonts w:eastAsia="Calibri"/>
          <w:szCs w:val="24"/>
        </w:rPr>
        <w:t xml:space="preserve">Legitimacy is defined as a generalised perception that the actions of an organization are appropriate within a socially constructed system of norms, values and beliefs (Suchman, 1995). Legitimacy therefore extends more than just legal compliance. An organization can be fully compliant with the law and still lose the confidence of the public if its conduct is perceived as unethical, unfair, insensitive or inconsistent with prevailing social expectations. Legality is concerned with whether an act is permitted by law. Legitimacy asks whether such action is seen as acceptable, responsible and appropriate by the society affected by it. </w:t>
      </w:r>
    </w:p>
    <w:p w14:paraId="1726D9FF">
      <w:pPr>
        <w:spacing w:before="240"/>
        <w:jc w:val="both"/>
        <w:rPr>
          <w:rFonts w:eastAsia="Calibri"/>
          <w:szCs w:val="24"/>
        </w:rPr>
      </w:pPr>
      <w:r>
        <w:rPr>
          <w:rFonts w:eastAsia="Calibri"/>
          <w:szCs w:val="24"/>
        </w:rPr>
        <w:t>That distinction is more important in the areas of Corporate Social Responsibility, sustainability and Environmental, Social and Governance practices. Today’s stakeholders want to know more than what organisations produce, and how much profit they make. They also want to know how an organization looks after its employees, how it relates to the community, how it deals with environmental consequences and whether its claims of responsibility are genuine.</w:t>
      </w:r>
    </w:p>
    <w:p w14:paraId="4885D5E4">
      <w:pPr>
        <w:spacing w:before="240"/>
        <w:jc w:val="both"/>
        <w:rPr>
          <w:rFonts w:eastAsia="Calibri"/>
          <w:szCs w:val="24"/>
        </w:rPr>
      </w:pPr>
      <w:r>
        <w:rPr>
          <w:rFonts w:eastAsia="Calibri"/>
          <w:szCs w:val="24"/>
        </w:rPr>
        <w:t>The public governance also needs to be legitimated. High trust in government and public institutions are necessary in order for policies to be effective. Institutions that are felt to be fair, transparent, responsible and responsive are more likely to be engaged by citizens. However, where corruption, discrimination, waste and/or impunity and poor service delivery are common, these can pose a threat to institutional legitimacy. Popular discontent is not the only thing that can be the effect of citizens' dissatisfaction with government bodies. Individuals may not be compliant, there may be a fall in collaboration, there may be social tensions, even good government programs may be unsuccessful in meeting their objectives.</w:t>
      </w:r>
    </w:p>
    <w:p w14:paraId="516B65E4">
      <w:pPr>
        <w:spacing w:before="240"/>
        <w:jc w:val="both"/>
        <w:rPr>
          <w:rFonts w:eastAsia="Calibri"/>
          <w:szCs w:val="24"/>
        </w:rPr>
      </w:pPr>
      <w:r>
        <w:rPr>
          <w:rFonts w:eastAsia="Calibri"/>
          <w:szCs w:val="24"/>
        </w:rPr>
        <w:t>Legitimacy Theory thus lends credence to a major premise of this lecture: development requires not simply resources and technically competent policies, but organisations citizens can trust. Trust is institutional capital. Similar to financial capital, it requires time to develop. But unlike financial wealth it may be destroyed very fast. Once lost, public trust is hard, costly and time-consuming to recover. Thus, strategic governance must not only be concerned with what government and organisations do, but also with how these activities are perceived, experienced and judged by the people they are meant to serve.</w:t>
      </w:r>
    </w:p>
    <w:p w14:paraId="2030C268">
      <w:pPr>
        <w:spacing w:before="240"/>
        <w:jc w:val="both"/>
        <w:rPr>
          <w:rFonts w:eastAsia="Calibri"/>
          <w:szCs w:val="24"/>
        </w:rPr>
      </w:pPr>
      <w:r>
        <w:rPr>
          <w:rFonts w:eastAsia="Calibri"/>
          <w:szCs w:val="24"/>
        </w:rPr>
        <w:t xml:space="preserve">Legitimacy is the social acceptability of institutional behaviour. In public governance legitimacy can affect compliance, involvement and cooperation. Hence, it can serve as a mediating variable between governance quality and stakeholder response. But legitimacy is not the same as popularity: an institution may be popular but do a bad job, or a necessary reform may be unpopular initially but produce benefits over the longer term. </w:t>
      </w:r>
    </w:p>
    <w:p w14:paraId="099EDCD0">
      <w:pPr>
        <w:spacing w:before="240"/>
        <w:jc w:val="both"/>
        <w:rPr>
          <w:rFonts w:eastAsia="Calibri"/>
          <w:b/>
          <w:bCs/>
          <w:szCs w:val="24"/>
        </w:rPr>
      </w:pPr>
      <w:r>
        <w:rPr>
          <w:rFonts w:eastAsia="Calibri"/>
          <w:b/>
          <w:bCs/>
          <w:szCs w:val="24"/>
        </w:rPr>
        <w:t xml:space="preserve">8.4 The Corporate Governance Theory </w:t>
      </w:r>
    </w:p>
    <w:p w14:paraId="2E89C08D">
      <w:pPr>
        <w:spacing w:before="240"/>
        <w:jc w:val="both"/>
        <w:rPr>
          <w:rFonts w:eastAsia="Calibri"/>
          <w:szCs w:val="24"/>
        </w:rPr>
      </w:pPr>
      <w:r>
        <w:rPr>
          <w:rFonts w:eastAsia="Calibri"/>
          <w:szCs w:val="24"/>
        </w:rPr>
        <w:t xml:space="preserve">Another important pillar of the intellectual argument constructed in this lecture is Corporate Governance Theory. Fundamentally, corporate governance is about the systems, structures and processes by which organisations are directed and controlled and to which they are held accountable. Previous corporate governance approaches have been dominated by owner-manager relations and the potential conflict of interests between the two. The core issue was how to make sure that managers used the firm's resources in the interests of the owners and were responsible for the decisions they took. </w:t>
      </w:r>
    </w:p>
    <w:p w14:paraId="75ACA268">
      <w:pPr>
        <w:spacing w:before="240"/>
        <w:jc w:val="both"/>
        <w:rPr>
          <w:rFonts w:eastAsia="Calibri"/>
          <w:szCs w:val="24"/>
        </w:rPr>
      </w:pPr>
      <w:r>
        <w:rPr>
          <w:rFonts w:eastAsia="Calibri"/>
          <w:szCs w:val="24"/>
        </w:rPr>
        <w:t>Corporate governance provides mechanisms for oversight, accountability, decision rights, monitoring, risk management and corrective action. These mechanisms are adapted to public governance in SGDAF. Adaptation is necessary because public accountability is about citizens, legislatures, courts, constitutional bodies and administrative institutions, not just shareholders and boards.</w:t>
      </w:r>
    </w:p>
    <w:p w14:paraId="7ADF7107">
      <w:pPr>
        <w:pStyle w:val="12"/>
        <w:jc w:val="both"/>
      </w:pPr>
      <w:r>
        <w:t>Contemporary corporate governance, however, has become considerably broader. It now encompasses:</w:t>
      </w:r>
    </w:p>
    <w:p w14:paraId="6900267B">
      <w:pPr>
        <w:pStyle w:val="12"/>
        <w:numPr>
          <w:ilvl w:val="0"/>
          <w:numId w:val="2"/>
        </w:numPr>
        <w:jc w:val="both"/>
      </w:pPr>
      <w:r>
        <w:t>strategic direction;</w:t>
      </w:r>
    </w:p>
    <w:p w14:paraId="45D13026">
      <w:pPr>
        <w:pStyle w:val="12"/>
        <w:numPr>
          <w:ilvl w:val="0"/>
          <w:numId w:val="2"/>
        </w:numPr>
        <w:jc w:val="both"/>
      </w:pPr>
      <w:r>
        <w:t>accountability and transparency;</w:t>
      </w:r>
    </w:p>
    <w:p w14:paraId="0530F820">
      <w:pPr>
        <w:pStyle w:val="12"/>
        <w:numPr>
          <w:ilvl w:val="0"/>
          <w:numId w:val="2"/>
        </w:numPr>
        <w:jc w:val="both"/>
      </w:pPr>
      <w:r>
        <w:t>risk management;</w:t>
      </w:r>
    </w:p>
    <w:p w14:paraId="42ABA0B1">
      <w:pPr>
        <w:pStyle w:val="12"/>
        <w:numPr>
          <w:ilvl w:val="0"/>
          <w:numId w:val="2"/>
        </w:numPr>
        <w:jc w:val="both"/>
      </w:pPr>
      <w:r>
        <w:t>leadership and oversight;</w:t>
      </w:r>
    </w:p>
    <w:p w14:paraId="4D408190">
      <w:pPr>
        <w:pStyle w:val="12"/>
        <w:numPr>
          <w:ilvl w:val="0"/>
          <w:numId w:val="2"/>
        </w:numPr>
        <w:jc w:val="both"/>
      </w:pPr>
      <w:r>
        <w:t>ethical conduct;</w:t>
      </w:r>
    </w:p>
    <w:p w14:paraId="3EB7544B">
      <w:pPr>
        <w:pStyle w:val="12"/>
        <w:numPr>
          <w:ilvl w:val="0"/>
          <w:numId w:val="2"/>
        </w:numPr>
        <w:jc w:val="both"/>
      </w:pPr>
      <w:r>
        <w:t>protection of stakeholder interests; and</w:t>
      </w:r>
    </w:p>
    <w:p w14:paraId="1A299911">
      <w:pPr>
        <w:pStyle w:val="12"/>
        <w:numPr>
          <w:ilvl w:val="0"/>
          <w:numId w:val="2"/>
        </w:numPr>
        <w:jc w:val="both"/>
      </w:pPr>
      <w:r>
        <w:t>long-term organisational sustainability.</w:t>
      </w:r>
    </w:p>
    <w:p w14:paraId="48E1D028">
      <w:pPr>
        <w:spacing w:before="240"/>
        <w:jc w:val="both"/>
        <w:rPr>
          <w:rFonts w:eastAsia="Calibri"/>
          <w:b/>
          <w:bCs/>
          <w:szCs w:val="24"/>
        </w:rPr>
      </w:pPr>
      <w:r>
        <w:rPr>
          <w:rFonts w:eastAsia="Calibri"/>
          <w:b/>
          <w:bCs/>
          <w:szCs w:val="24"/>
        </w:rPr>
        <w:t xml:space="preserve">8.5 The Triple Bottom Line (TBL) </w:t>
      </w:r>
    </w:p>
    <w:p w14:paraId="19FB641A">
      <w:pPr>
        <w:spacing w:before="240"/>
        <w:jc w:val="both"/>
        <w:rPr>
          <w:rFonts w:eastAsia="Calibri"/>
          <w:szCs w:val="24"/>
        </w:rPr>
      </w:pPr>
      <w:r>
        <w:rPr>
          <w:rFonts w:eastAsia="Calibri"/>
          <w:szCs w:val="24"/>
        </w:rPr>
        <w:t xml:space="preserve">The idea of the Triple Bottom Line, associated with Elkington (1997), broadens our understanding of organisational and developmental performance. Traditional approaches to business performance have been very much focused on financial outcomes. The Triple Bottom Line disagrees with this narrow conception, arguing that organisations should also be concerned with their social and environmental consequences. The Triple Bottom Line broadens the scope of value to economic, social and environmental performance beyond the financial. This logic is embedded in the concept of sustainability orientation of SGDAF. Sustainability is operationalised through lifecycle planning, environmental safeguards, maintenance, resilience, intergenerational effects and human-capital renewal. </w:t>
      </w:r>
    </w:p>
    <w:p w14:paraId="5C3BFD8E">
      <w:pPr>
        <w:spacing w:before="240"/>
        <w:jc w:val="both"/>
        <w:rPr>
          <w:rFonts w:eastAsia="Calibri"/>
          <w:szCs w:val="24"/>
        </w:rPr>
      </w:pPr>
      <w:r>
        <w:rPr>
          <w:rFonts w:eastAsia="Calibri"/>
          <w:szCs w:val="24"/>
        </w:rPr>
        <w:t xml:space="preserve">The framework is usually articulated by three interrelated dimensions: </w:t>
      </w:r>
    </w:p>
    <w:p w14:paraId="047B0EB3">
      <w:pPr>
        <w:spacing w:before="240"/>
        <w:jc w:val="both"/>
        <w:rPr>
          <w:rFonts w:eastAsia="Calibri"/>
          <w:szCs w:val="24"/>
        </w:rPr>
      </w:pPr>
      <w:r>
        <w:rPr>
          <w:rFonts w:eastAsia="Calibri"/>
          <w:szCs w:val="24"/>
        </w:rPr>
        <w:t xml:space="preserve">Economic performance Profit: generating financial and economic value, whilst ensuring the organisation’s long-term viability and competitiveness. </w:t>
      </w:r>
    </w:p>
    <w:p w14:paraId="7FEFA1E5">
      <w:pPr>
        <w:spacing w:before="240"/>
        <w:jc w:val="both"/>
        <w:rPr>
          <w:rFonts w:eastAsia="Calibri"/>
          <w:szCs w:val="24"/>
        </w:rPr>
      </w:pPr>
      <w:r>
        <w:rPr>
          <w:rFonts w:eastAsia="Calibri"/>
          <w:szCs w:val="24"/>
        </w:rPr>
        <w:t xml:space="preserve">Social performance - People: enhancing human wellbeing, responsible management of employees and other stakeholders and positive contribution to society. </w:t>
      </w:r>
    </w:p>
    <w:p w14:paraId="2722C93A">
      <w:pPr>
        <w:spacing w:before="240"/>
        <w:jc w:val="both"/>
        <w:rPr>
          <w:rFonts w:eastAsia="Calibri"/>
          <w:szCs w:val="24"/>
        </w:rPr>
      </w:pPr>
      <w:r>
        <w:rPr>
          <w:rFonts w:eastAsia="Calibri"/>
          <w:szCs w:val="24"/>
        </w:rPr>
        <w:t xml:space="preserve">Environmental performance – Planet: protecting natural resources, reducing environmental damage and promoting responsible and sustainable use of the environment. </w:t>
      </w:r>
    </w:p>
    <w:p w14:paraId="7C8E736F">
      <w:pPr>
        <w:spacing w:before="240"/>
        <w:jc w:val="both"/>
        <w:rPr>
          <w:rFonts w:eastAsia="Calibri"/>
          <w:szCs w:val="24"/>
        </w:rPr>
      </w:pPr>
      <w:r>
        <w:rPr>
          <w:rFonts w:eastAsia="Calibri"/>
          <w:szCs w:val="24"/>
        </w:rPr>
        <w:t xml:space="preserve">The importance of the Triple Bottom Line is that it recognises that economic performance cannot be considered in isolation from social and environmental realities. Imagine a company that makes huge profits but pollutes its host community, destroys the environment, exploits workers or otherwise does little for the welfare of the people in the neighbourhood. Can such performance be considered sustainable? </w:t>
      </w:r>
    </w:p>
    <w:p w14:paraId="7FEF6075">
      <w:pPr>
        <w:spacing w:before="240"/>
        <w:jc w:val="both"/>
        <w:rPr>
          <w:rFonts w:eastAsia="Calibri"/>
          <w:szCs w:val="24"/>
        </w:rPr>
      </w:pPr>
      <w:r>
        <w:rPr>
          <w:rFonts w:eastAsia="Calibri"/>
          <w:szCs w:val="24"/>
        </w:rPr>
        <w:t>Thus, these dimensions are interrelated, not mutually exclusive. The same can be done in the development of a country. Economic growth is necessary but growth does not give a full picture of development. A country may exhibit rises in national income even as large segments of the population suffer from unemployment, poverty, inequality, poor public services, environmental degradation and poor living conditions. True development therefore has to combine economic growth with social progress and environmental sustainability.</w:t>
      </w:r>
    </w:p>
    <w:p w14:paraId="1D546184">
      <w:pPr>
        <w:pStyle w:val="2"/>
        <w:spacing w:before="200" w:after="100"/>
        <w:jc w:val="both"/>
        <w:rPr>
          <w:rFonts w:ascii="Times New Roman" w:hAnsi="Times New Roman" w:eastAsia="SimSun" w:cs="Times New Roman"/>
          <w:color w:val="auto"/>
          <w:kern w:val="36"/>
          <w:sz w:val="24"/>
          <w:szCs w:val="24"/>
        </w:rPr>
      </w:pPr>
      <w:r>
        <w:rPr>
          <w:rFonts w:ascii="Times New Roman" w:hAnsi="Times New Roman" w:cs="Times New Roman"/>
          <w:color w:val="auto"/>
          <w:kern w:val="36"/>
          <w:sz w:val="24"/>
          <w:szCs w:val="24"/>
        </w:rPr>
        <w:t>8.6 Theoretical Foundations and Integration</w:t>
      </w:r>
    </w:p>
    <w:p w14:paraId="492DC5EA">
      <w:pPr>
        <w:spacing w:after="120"/>
        <w:jc w:val="both"/>
        <w:rPr>
          <w:rFonts w:eastAsia="Calibri"/>
          <w:szCs w:val="24"/>
        </w:rPr>
      </w:pPr>
      <w:r>
        <w:rPr>
          <w:rFonts w:eastAsia="Calibri"/>
          <w:szCs w:val="24"/>
        </w:rPr>
        <w:t>Five theoretical perspectives provide the foundation for SGDAF. Their value is not merely that they all mention responsibility or institutions; each answer different analytical questions.</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0"/>
        <w:gridCol w:w="3005"/>
        <w:gridCol w:w="3021"/>
      </w:tblGrid>
      <w:tr w14:paraId="01B67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0" w:type="dxa"/>
            <w:tcBorders>
              <w:top w:val="single" w:color="auto" w:sz="4" w:space="0"/>
              <w:left w:val="single" w:color="auto" w:sz="4" w:space="0"/>
              <w:bottom w:val="single" w:color="auto" w:sz="4" w:space="0"/>
              <w:right w:val="single" w:color="auto" w:sz="4" w:space="0"/>
            </w:tcBorders>
          </w:tcPr>
          <w:p w14:paraId="7C0E8E5A">
            <w:pPr>
              <w:spacing w:after="0"/>
              <w:jc w:val="both"/>
              <w:rPr>
                <w:rFonts w:eastAsia="SimSun"/>
                <w:b/>
                <w:bCs/>
                <w:szCs w:val="24"/>
              </w:rPr>
            </w:pPr>
            <w:r>
              <w:rPr>
                <w:b/>
                <w:bCs/>
                <w:szCs w:val="24"/>
              </w:rPr>
              <w:t>Theory</w:t>
            </w:r>
          </w:p>
        </w:tc>
        <w:tc>
          <w:tcPr>
            <w:tcW w:w="3005" w:type="dxa"/>
            <w:tcBorders>
              <w:top w:val="single" w:color="auto" w:sz="4" w:space="0"/>
              <w:left w:val="single" w:color="auto" w:sz="4" w:space="0"/>
              <w:bottom w:val="single" w:color="auto" w:sz="4" w:space="0"/>
              <w:right w:val="single" w:color="auto" w:sz="4" w:space="0"/>
            </w:tcBorders>
          </w:tcPr>
          <w:p w14:paraId="5578058F">
            <w:pPr>
              <w:spacing w:after="0"/>
              <w:jc w:val="both"/>
              <w:rPr>
                <w:b/>
                <w:bCs/>
                <w:szCs w:val="24"/>
              </w:rPr>
            </w:pPr>
            <w:r>
              <w:rPr>
                <w:b/>
                <w:bCs/>
                <w:szCs w:val="24"/>
              </w:rPr>
              <w:t>Primary explanatory question</w:t>
            </w:r>
          </w:p>
        </w:tc>
        <w:tc>
          <w:tcPr>
            <w:tcW w:w="3021" w:type="dxa"/>
            <w:tcBorders>
              <w:top w:val="single" w:color="auto" w:sz="4" w:space="0"/>
              <w:left w:val="single" w:color="auto" w:sz="4" w:space="0"/>
              <w:bottom w:val="single" w:color="auto" w:sz="4" w:space="0"/>
              <w:right w:val="single" w:color="auto" w:sz="4" w:space="0"/>
            </w:tcBorders>
          </w:tcPr>
          <w:p w14:paraId="787A2A51">
            <w:pPr>
              <w:spacing w:after="0"/>
              <w:jc w:val="both"/>
              <w:rPr>
                <w:b/>
                <w:bCs/>
                <w:szCs w:val="24"/>
              </w:rPr>
            </w:pPr>
            <w:r>
              <w:rPr>
                <w:b/>
                <w:bCs/>
                <w:szCs w:val="24"/>
              </w:rPr>
              <w:t>Contribution to SGDAF</w:t>
            </w:r>
          </w:p>
        </w:tc>
      </w:tr>
      <w:tr w14:paraId="64D0E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0" w:type="dxa"/>
            <w:tcBorders>
              <w:top w:val="single" w:color="auto" w:sz="4" w:space="0"/>
              <w:left w:val="single" w:color="auto" w:sz="4" w:space="0"/>
              <w:bottom w:val="single" w:color="auto" w:sz="4" w:space="0"/>
              <w:right w:val="single" w:color="auto" w:sz="4" w:space="0"/>
            </w:tcBorders>
          </w:tcPr>
          <w:p w14:paraId="4F11EFE4">
            <w:pPr>
              <w:spacing w:after="0"/>
              <w:jc w:val="both"/>
              <w:rPr>
                <w:szCs w:val="24"/>
              </w:rPr>
            </w:pPr>
            <w:r>
              <w:rPr>
                <w:szCs w:val="24"/>
              </w:rPr>
              <w:t>Stakeholder Theory</w:t>
            </w:r>
          </w:p>
        </w:tc>
        <w:tc>
          <w:tcPr>
            <w:tcW w:w="3005" w:type="dxa"/>
            <w:tcBorders>
              <w:top w:val="single" w:color="auto" w:sz="4" w:space="0"/>
              <w:left w:val="single" w:color="auto" w:sz="4" w:space="0"/>
              <w:bottom w:val="single" w:color="auto" w:sz="4" w:space="0"/>
              <w:right w:val="single" w:color="auto" w:sz="4" w:space="0"/>
            </w:tcBorders>
            <w:vAlign w:val="center"/>
          </w:tcPr>
          <w:p w14:paraId="7E2CD6FE">
            <w:pPr>
              <w:spacing w:after="0"/>
              <w:jc w:val="both"/>
              <w:rPr>
                <w:szCs w:val="24"/>
              </w:rPr>
            </w:pPr>
            <w:r>
              <w:rPr>
                <w:szCs w:val="24"/>
              </w:rPr>
              <w:t>Who participates in value creation?</w:t>
            </w:r>
          </w:p>
        </w:tc>
        <w:tc>
          <w:tcPr>
            <w:tcW w:w="3021" w:type="dxa"/>
            <w:tcBorders>
              <w:top w:val="single" w:color="auto" w:sz="4" w:space="0"/>
              <w:left w:val="single" w:color="auto" w:sz="4" w:space="0"/>
              <w:bottom w:val="single" w:color="auto" w:sz="4" w:space="0"/>
              <w:right w:val="single" w:color="auto" w:sz="4" w:space="0"/>
            </w:tcBorders>
            <w:vAlign w:val="center"/>
          </w:tcPr>
          <w:p w14:paraId="1940C4F6">
            <w:pPr>
              <w:spacing w:after="0"/>
              <w:jc w:val="both"/>
              <w:rPr>
                <w:szCs w:val="24"/>
              </w:rPr>
            </w:pPr>
            <w:r>
              <w:rPr>
                <w:szCs w:val="24"/>
              </w:rPr>
              <w:t>Identify actors and interests</w:t>
            </w:r>
          </w:p>
        </w:tc>
      </w:tr>
      <w:tr w14:paraId="3C2D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0" w:type="dxa"/>
            <w:tcBorders>
              <w:top w:val="single" w:color="auto" w:sz="4" w:space="0"/>
              <w:left w:val="single" w:color="auto" w:sz="4" w:space="0"/>
              <w:bottom w:val="single" w:color="auto" w:sz="4" w:space="0"/>
              <w:right w:val="single" w:color="auto" w:sz="4" w:space="0"/>
            </w:tcBorders>
          </w:tcPr>
          <w:p w14:paraId="3C3E348D">
            <w:pPr>
              <w:spacing w:after="0"/>
              <w:jc w:val="both"/>
              <w:rPr>
                <w:szCs w:val="24"/>
              </w:rPr>
            </w:pPr>
            <w:r>
              <w:rPr>
                <w:szCs w:val="24"/>
              </w:rPr>
              <w:t>Institutional Theory</w:t>
            </w:r>
          </w:p>
        </w:tc>
        <w:tc>
          <w:tcPr>
            <w:tcW w:w="3005" w:type="dxa"/>
            <w:tcBorders>
              <w:top w:val="single" w:color="auto" w:sz="4" w:space="0"/>
              <w:left w:val="single" w:color="auto" w:sz="4" w:space="0"/>
              <w:bottom w:val="single" w:color="auto" w:sz="4" w:space="0"/>
              <w:right w:val="single" w:color="auto" w:sz="4" w:space="0"/>
            </w:tcBorders>
            <w:vAlign w:val="center"/>
          </w:tcPr>
          <w:p w14:paraId="3972CA3B">
            <w:pPr>
              <w:spacing w:after="0"/>
              <w:jc w:val="both"/>
              <w:rPr>
                <w:szCs w:val="24"/>
              </w:rPr>
            </w:pPr>
            <w:r>
              <w:rPr>
                <w:szCs w:val="24"/>
              </w:rPr>
              <w:t>What structures constrain/enable action?</w:t>
            </w:r>
          </w:p>
        </w:tc>
        <w:tc>
          <w:tcPr>
            <w:tcW w:w="3021" w:type="dxa"/>
            <w:tcBorders>
              <w:top w:val="single" w:color="auto" w:sz="4" w:space="0"/>
              <w:left w:val="single" w:color="auto" w:sz="4" w:space="0"/>
              <w:bottom w:val="single" w:color="auto" w:sz="4" w:space="0"/>
              <w:right w:val="single" w:color="auto" w:sz="4" w:space="0"/>
            </w:tcBorders>
          </w:tcPr>
          <w:p w14:paraId="03C51E71">
            <w:pPr>
              <w:spacing w:after="0"/>
              <w:jc w:val="both"/>
              <w:rPr>
                <w:szCs w:val="24"/>
              </w:rPr>
            </w:pPr>
            <w:r>
              <w:rPr>
                <w:szCs w:val="24"/>
              </w:rPr>
              <w:t>Explains institutional context</w:t>
            </w:r>
          </w:p>
        </w:tc>
      </w:tr>
      <w:tr w14:paraId="180F2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0" w:type="dxa"/>
            <w:tcBorders>
              <w:top w:val="single" w:color="auto" w:sz="4" w:space="0"/>
              <w:left w:val="single" w:color="auto" w:sz="4" w:space="0"/>
              <w:bottom w:val="single" w:color="auto" w:sz="4" w:space="0"/>
              <w:right w:val="single" w:color="auto" w:sz="4" w:space="0"/>
            </w:tcBorders>
          </w:tcPr>
          <w:p w14:paraId="3900FE8B">
            <w:pPr>
              <w:spacing w:after="0"/>
              <w:jc w:val="both"/>
              <w:rPr>
                <w:szCs w:val="24"/>
              </w:rPr>
            </w:pPr>
            <w:r>
              <w:rPr>
                <w:szCs w:val="24"/>
              </w:rPr>
              <w:t>Legitimacy Theory</w:t>
            </w:r>
          </w:p>
        </w:tc>
        <w:tc>
          <w:tcPr>
            <w:tcW w:w="3005" w:type="dxa"/>
            <w:tcBorders>
              <w:top w:val="single" w:color="auto" w:sz="4" w:space="0"/>
              <w:left w:val="single" w:color="auto" w:sz="4" w:space="0"/>
              <w:bottom w:val="single" w:color="auto" w:sz="4" w:space="0"/>
              <w:right w:val="single" w:color="auto" w:sz="4" w:space="0"/>
            </w:tcBorders>
            <w:vAlign w:val="center"/>
          </w:tcPr>
          <w:p w14:paraId="7631FA2D">
            <w:pPr>
              <w:spacing w:after="0"/>
              <w:jc w:val="both"/>
              <w:rPr>
                <w:szCs w:val="24"/>
              </w:rPr>
            </w:pPr>
            <w:r>
              <w:rPr>
                <w:szCs w:val="24"/>
              </w:rPr>
              <w:t>Why do actors accept institutions?</w:t>
            </w:r>
          </w:p>
        </w:tc>
        <w:tc>
          <w:tcPr>
            <w:tcW w:w="3021" w:type="dxa"/>
            <w:tcBorders>
              <w:top w:val="single" w:color="auto" w:sz="4" w:space="0"/>
              <w:left w:val="single" w:color="auto" w:sz="4" w:space="0"/>
              <w:bottom w:val="single" w:color="auto" w:sz="4" w:space="0"/>
              <w:right w:val="single" w:color="auto" w:sz="4" w:space="0"/>
            </w:tcBorders>
          </w:tcPr>
          <w:p w14:paraId="76578ED3">
            <w:pPr>
              <w:spacing w:after="0"/>
              <w:jc w:val="both"/>
              <w:rPr>
                <w:szCs w:val="24"/>
              </w:rPr>
            </w:pPr>
            <w:r>
              <w:rPr>
                <w:szCs w:val="24"/>
              </w:rPr>
              <w:t>Explains trust and social acceptance</w:t>
            </w:r>
          </w:p>
        </w:tc>
      </w:tr>
      <w:tr w14:paraId="4986A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0" w:type="dxa"/>
            <w:tcBorders>
              <w:top w:val="single" w:color="auto" w:sz="4" w:space="0"/>
              <w:left w:val="single" w:color="auto" w:sz="4" w:space="0"/>
              <w:bottom w:val="single" w:color="auto" w:sz="4" w:space="0"/>
              <w:right w:val="single" w:color="auto" w:sz="4" w:space="0"/>
            </w:tcBorders>
          </w:tcPr>
          <w:p w14:paraId="182CA12C">
            <w:pPr>
              <w:spacing w:after="0"/>
              <w:jc w:val="both"/>
              <w:rPr>
                <w:szCs w:val="24"/>
              </w:rPr>
            </w:pPr>
            <w:r>
              <w:rPr>
                <w:szCs w:val="24"/>
              </w:rPr>
              <w:t>Corporate Governance Theory</w:t>
            </w:r>
          </w:p>
        </w:tc>
        <w:tc>
          <w:tcPr>
            <w:tcW w:w="3005" w:type="dxa"/>
            <w:tcBorders>
              <w:top w:val="single" w:color="auto" w:sz="4" w:space="0"/>
              <w:left w:val="single" w:color="auto" w:sz="4" w:space="0"/>
              <w:bottom w:val="single" w:color="auto" w:sz="4" w:space="0"/>
              <w:right w:val="single" w:color="auto" w:sz="4" w:space="0"/>
            </w:tcBorders>
            <w:vAlign w:val="center"/>
          </w:tcPr>
          <w:p w14:paraId="032FE191">
            <w:pPr>
              <w:spacing w:after="0"/>
              <w:jc w:val="both"/>
              <w:rPr>
                <w:szCs w:val="24"/>
              </w:rPr>
            </w:pPr>
            <w:r>
              <w:rPr>
                <w:szCs w:val="24"/>
              </w:rPr>
              <w:t>How are authority and accountability organised?</w:t>
            </w:r>
          </w:p>
        </w:tc>
        <w:tc>
          <w:tcPr>
            <w:tcW w:w="3021" w:type="dxa"/>
            <w:tcBorders>
              <w:top w:val="single" w:color="auto" w:sz="4" w:space="0"/>
              <w:left w:val="single" w:color="auto" w:sz="4" w:space="0"/>
              <w:bottom w:val="single" w:color="auto" w:sz="4" w:space="0"/>
              <w:right w:val="single" w:color="auto" w:sz="4" w:space="0"/>
            </w:tcBorders>
            <w:vAlign w:val="center"/>
          </w:tcPr>
          <w:p w14:paraId="5EED1D37">
            <w:pPr>
              <w:spacing w:after="0"/>
              <w:jc w:val="both"/>
              <w:rPr>
                <w:szCs w:val="24"/>
              </w:rPr>
            </w:pPr>
            <w:r>
              <w:rPr>
                <w:szCs w:val="24"/>
              </w:rPr>
              <w:t>Explains control and oversight</w:t>
            </w:r>
          </w:p>
        </w:tc>
      </w:tr>
      <w:tr w14:paraId="00571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0" w:type="dxa"/>
            <w:tcBorders>
              <w:top w:val="single" w:color="auto" w:sz="4" w:space="0"/>
              <w:left w:val="single" w:color="auto" w:sz="4" w:space="0"/>
              <w:bottom w:val="single" w:color="auto" w:sz="4" w:space="0"/>
              <w:right w:val="single" w:color="auto" w:sz="4" w:space="0"/>
            </w:tcBorders>
          </w:tcPr>
          <w:p w14:paraId="4CD760D6">
            <w:pPr>
              <w:spacing w:after="0"/>
              <w:jc w:val="both"/>
              <w:rPr>
                <w:szCs w:val="24"/>
              </w:rPr>
            </w:pPr>
            <w:r>
              <w:rPr>
                <w:szCs w:val="24"/>
              </w:rPr>
              <w:t>Triple Bottom Line</w:t>
            </w:r>
          </w:p>
        </w:tc>
        <w:tc>
          <w:tcPr>
            <w:tcW w:w="3005" w:type="dxa"/>
            <w:tcBorders>
              <w:top w:val="single" w:color="auto" w:sz="4" w:space="0"/>
              <w:left w:val="single" w:color="auto" w:sz="4" w:space="0"/>
              <w:bottom w:val="single" w:color="auto" w:sz="4" w:space="0"/>
              <w:right w:val="single" w:color="auto" w:sz="4" w:space="0"/>
            </w:tcBorders>
          </w:tcPr>
          <w:p w14:paraId="7DAABDF1">
            <w:pPr>
              <w:spacing w:after="0"/>
              <w:jc w:val="both"/>
              <w:rPr>
                <w:szCs w:val="24"/>
              </w:rPr>
            </w:pPr>
            <w:r>
              <w:rPr>
                <w:szCs w:val="24"/>
              </w:rPr>
              <w:t>What constitutes sustainable value?</w:t>
            </w:r>
          </w:p>
        </w:tc>
        <w:tc>
          <w:tcPr>
            <w:tcW w:w="3021" w:type="dxa"/>
            <w:tcBorders>
              <w:top w:val="single" w:color="auto" w:sz="4" w:space="0"/>
              <w:left w:val="single" w:color="auto" w:sz="4" w:space="0"/>
              <w:bottom w:val="single" w:color="auto" w:sz="4" w:space="0"/>
              <w:right w:val="single" w:color="auto" w:sz="4" w:space="0"/>
            </w:tcBorders>
          </w:tcPr>
          <w:p w14:paraId="1A45BC57">
            <w:pPr>
              <w:spacing w:after="0"/>
              <w:jc w:val="both"/>
              <w:rPr>
                <w:szCs w:val="24"/>
              </w:rPr>
            </w:pPr>
            <w:r>
              <w:rPr>
                <w:szCs w:val="24"/>
              </w:rPr>
              <w:t>Defines multidimensional outcomes</w:t>
            </w:r>
          </w:p>
        </w:tc>
      </w:tr>
    </w:tbl>
    <w:p w14:paraId="291D989C">
      <w:pPr>
        <w:pStyle w:val="3"/>
        <w:spacing w:after="100"/>
        <w:jc w:val="both"/>
        <w:rPr>
          <w:rFonts w:ascii="Times New Roman" w:hAnsi="Times New Roman"/>
          <w:bCs/>
          <w:sz w:val="24"/>
          <w:szCs w:val="24"/>
        </w:rPr>
      </w:pPr>
      <w:r>
        <w:rPr>
          <w:bCs/>
        </w:rPr>
        <w:t xml:space="preserve"> </w:t>
      </w:r>
    </w:p>
    <w:p w14:paraId="6F74592F">
      <w:pPr>
        <w:pStyle w:val="3"/>
        <w:spacing w:after="10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8.7 The Integrative Logic</w:t>
      </w:r>
    </w:p>
    <w:p w14:paraId="5D8E575C">
      <w:pPr>
        <w:spacing w:before="240"/>
        <w:jc w:val="both"/>
        <w:rPr>
          <w:rFonts w:eastAsia="Calibri"/>
          <w:szCs w:val="24"/>
        </w:rPr>
      </w:pPr>
      <w:r>
        <w:rPr>
          <w:rFonts w:eastAsia="Calibri"/>
          <w:szCs w:val="24"/>
        </w:rPr>
        <w:t>I am not giving these theories as if they were 5 different causes. I feel that this is 5 lenses for 1 problem. These are a set of functions that are analytic. The Stakeholder Theory, as a theory, is built on the premise that it takes into account the stakeholder who bring in resources and interests to the development process. Institutional Theory is a set of rules and structures that govern such actors. The acceptance of decisions in institutions like the influence of collaboration and compliance is explained by the legitimacy theory. The decision rights, supervision and accountability procedure are defined according to Corporate Governance Theory. The greater size of value is referred to as Triple Bottom Line.</w:t>
      </w:r>
    </w:p>
    <w:p w14:paraId="38BA44DB">
      <w:pPr>
        <w:spacing w:before="240"/>
        <w:jc w:val="both"/>
        <w:rPr>
          <w:rFonts w:eastAsia="Calibri"/>
          <w:szCs w:val="24"/>
        </w:rPr>
      </w:pPr>
      <w:r>
        <w:rPr>
          <w:rFonts w:eastAsia="Calibri"/>
          <w:szCs w:val="24"/>
        </w:rPr>
        <w:t>The next major change in SGDAF theory is the idea of alignment, meaning that each of these theories alone would predict better outcomes to development, but each of the mechanisms identified by these theories would have to be interdependent. If you are not directed, you will not plan and if you don't have capacity you will not execute. Capacity needs to be assured through governance. Without stakeholders being coordinated there will be activities that are not done collectively. An unsustainable economic growth can create certain short-term gains but they are short-lived. Not doing well can be a sort of legitimacy.</w:t>
      </w:r>
    </w:p>
    <w:p w14:paraId="5CF056A1">
      <w:pPr>
        <w:spacing w:before="240"/>
        <w:jc w:val="both"/>
        <w:rPr>
          <w:rFonts w:eastAsia="Calibri"/>
          <w:szCs w:val="24"/>
        </w:rPr>
      </w:pPr>
      <w:r>
        <w:rPr>
          <w:rFonts w:eastAsia="Calibri"/>
          <w:szCs w:val="24"/>
        </w:rPr>
        <w:t>It is crucial to differentiate SGDAF from the mere restatement of current theories at the present time. What this does is that it is original in thinking about these dimensions, as in their condition; if it is appropriate, according to further research.</w:t>
      </w:r>
    </w:p>
    <w:p w14:paraId="0B384CDC">
      <w:pPr>
        <w:spacing w:before="240"/>
        <w:jc w:val="both"/>
        <w:rPr>
          <w:rFonts w:eastAsia="Calibri"/>
          <w:szCs w:val="24"/>
        </w:rPr>
      </w:pPr>
      <w:r>
        <w:rPr>
          <w:rFonts w:eastAsia="Calibri"/>
          <w:b/>
          <w:bCs/>
          <w:szCs w:val="24"/>
        </w:rPr>
        <w:t>9. THE STRATEGIC GOVERNANCE–DEVELOPMENT ALIGNMENT FRAMEWORK (SGDAF): THE SCHOLARLY CONTRIBUTION</w:t>
      </w:r>
    </w:p>
    <w:p w14:paraId="09E95CC1">
      <w:pPr>
        <w:spacing w:before="240"/>
        <w:jc w:val="both"/>
        <w:rPr>
          <w:rFonts w:eastAsia="Calibri"/>
          <w:szCs w:val="24"/>
        </w:rPr>
      </w:pPr>
      <w:r>
        <w:rPr>
          <w:rFonts w:eastAsia="Calibri"/>
          <w:szCs w:val="24"/>
        </w:rPr>
        <w:t xml:space="preserve">The key contribution of this lecture is now at hand. The discussions in the previous chapters have brought together theoretical perspectives, empirical evidence and practical lessons to explain how some organisations and countries can achieve sustained development while others still experience disappointing outcomes even when they have substantial resources and clear policies. I present what I believe to be a modest contribution to scholarship, achieved through the synthesis of theory, evidence and reflection: the Strategic Governance–Development Alignment Framework (SGDAF). </w:t>
      </w:r>
    </w:p>
    <w:p w14:paraId="589820DE">
      <w:pPr>
        <w:spacing w:before="240"/>
        <w:jc w:val="both"/>
        <w:rPr>
          <w:rFonts w:eastAsia="Calibri"/>
          <w:szCs w:val="24"/>
        </w:rPr>
      </w:pPr>
      <w:r>
        <w:rPr>
          <w:rFonts w:eastAsia="Calibri"/>
          <w:szCs w:val="24"/>
        </w:rPr>
        <w:t xml:space="preserve">The framework is built around a simple idea: resources, policies, institutions and development intentions do not produce development outcomes automatically. The important point is how these elements are strategically organised, governed, implemented, co-ordinated and linked to the interests of the different stakeholders within the society. </w:t>
      </w:r>
    </w:p>
    <w:p w14:paraId="5F31CCCC">
      <w:pPr>
        <w:spacing w:before="240"/>
        <w:jc w:val="both"/>
        <w:rPr>
          <w:rFonts w:eastAsia="Calibri"/>
          <w:szCs w:val="24"/>
        </w:rPr>
      </w:pPr>
      <w:r>
        <w:rPr>
          <w:rFonts w:eastAsia="Calibri"/>
          <w:szCs w:val="24"/>
        </w:rPr>
        <w:t xml:space="preserve">A particularly good example of this is Nigeria. The country has abundant natural resources, a large and youthful population, significant entrepreneurial capacity, universities and research institutions, private-sector organisations and successive national development plans. But the presence of these assets has not always been matched by similar increases in the quality of life of citizens. Hence the question of development is not simply one of the existence of resources or the formulation of policies. The question is whether the different parts of the development system are sufficiently aligned to translate national potential into sustainable developmental outcomes. </w:t>
      </w:r>
      <w:r>
        <w:rPr>
          <w:rFonts w:eastAsia="Calibri"/>
          <w:szCs w:val="24"/>
        </w:rPr>
        <w:br w:type="textWrapping"/>
      </w:r>
      <w:r>
        <w:rPr>
          <w:rFonts w:eastAsia="Calibri"/>
          <w:szCs w:val="24"/>
        </w:rPr>
        <w:t>The SGDAF is my attempt to give a conceptual explanation of the alignment problem pointed out along this lecture. It translates the intellectual journey from CSR and organisational performance to a national-development framework without assuming that a country is a large corporation.</w:t>
      </w:r>
    </w:p>
    <w:p w14:paraId="148A9A62">
      <w:pPr>
        <w:spacing w:before="240"/>
        <w:jc w:val="both"/>
        <w:rPr>
          <w:rFonts w:eastAsia="Calibri"/>
          <w:szCs w:val="24"/>
        </w:rPr>
      </w:pPr>
      <w:r>
        <w:rPr>
          <w:rFonts w:eastAsia="Calibri"/>
          <w:szCs w:val="24"/>
        </w:rPr>
        <w:t xml:space="preserve">The framework suggests that sustainable national development is more likely to happen when five critical dimensions are deliberately aligned: </w:t>
      </w:r>
    </w:p>
    <w:p w14:paraId="24516723">
      <w:pPr>
        <w:spacing w:before="240"/>
        <w:jc w:val="both"/>
        <w:rPr>
          <w:rFonts w:eastAsia="Calibri"/>
          <w:szCs w:val="24"/>
        </w:rPr>
      </w:pPr>
      <w:r>
        <w:rPr>
          <w:rFonts w:eastAsia="Calibri"/>
          <w:szCs w:val="24"/>
        </w:rPr>
        <w:t xml:space="preserve">1. Strategic Direction – establishing clear, coherent and long-term national priorities and development goals; </w:t>
      </w:r>
    </w:p>
    <w:p w14:paraId="61EE72C5">
      <w:pPr>
        <w:spacing w:before="240"/>
        <w:jc w:val="both"/>
        <w:rPr>
          <w:rFonts w:eastAsia="Calibri"/>
          <w:szCs w:val="24"/>
        </w:rPr>
      </w:pPr>
      <w:r>
        <w:rPr>
          <w:rFonts w:eastAsia="Calibri"/>
          <w:szCs w:val="24"/>
        </w:rPr>
        <w:t xml:space="preserve">2. Good Governance – encouraging accountability, transparency, rule of law, policy credibility and effective implementation systems; </w:t>
      </w:r>
    </w:p>
    <w:p w14:paraId="13B5CD3B">
      <w:pPr>
        <w:spacing w:before="240"/>
        <w:jc w:val="both"/>
        <w:rPr>
          <w:rFonts w:eastAsia="Calibri"/>
          <w:szCs w:val="24"/>
        </w:rPr>
      </w:pPr>
      <w:r>
        <w:rPr>
          <w:rFonts w:eastAsia="Calibri"/>
          <w:szCs w:val="24"/>
        </w:rPr>
        <w:t xml:space="preserve">3. Institutional Capacity – building institutions that have the capacity, resources, autonomy and competence to turn policies into tangible results; </w:t>
      </w:r>
    </w:p>
    <w:p w14:paraId="408F05DC">
      <w:pPr>
        <w:spacing w:before="240"/>
        <w:jc w:val="both"/>
        <w:rPr>
          <w:rFonts w:eastAsia="Calibri"/>
          <w:szCs w:val="24"/>
        </w:rPr>
      </w:pPr>
      <w:r>
        <w:rPr>
          <w:rFonts w:eastAsia="Calibri"/>
          <w:szCs w:val="24"/>
        </w:rPr>
        <w:t xml:space="preserve">4. Stakeholder Value Creation – ensuring the development is undertaken with the collaboration and generates meaningful value for the various groups and institutions comprising society; and, </w:t>
      </w:r>
    </w:p>
    <w:p w14:paraId="49E08FF4">
      <w:pPr>
        <w:spacing w:before="240"/>
        <w:jc w:val="both"/>
        <w:rPr>
          <w:rFonts w:eastAsia="Calibri"/>
          <w:szCs w:val="24"/>
        </w:rPr>
      </w:pPr>
      <w:r>
        <w:rPr>
          <w:rFonts w:eastAsia="Calibri"/>
          <w:szCs w:val="24"/>
        </w:rPr>
        <w:t xml:space="preserve">5. Sustainability Orientation – economic progress with social well-being, environmental responsibility, institutional resilience and the interests of future generations. </w:t>
      </w:r>
    </w:p>
    <w:p w14:paraId="46FF64F9">
      <w:pPr>
        <w:spacing w:before="240"/>
        <w:jc w:val="both"/>
        <w:rPr>
          <w:rFonts w:eastAsia="Calibri"/>
          <w:szCs w:val="24"/>
        </w:rPr>
      </w:pPr>
      <w:r>
        <w:rPr>
          <w:rFonts w:eastAsia="Calibri"/>
          <w:szCs w:val="24"/>
        </w:rPr>
        <w:t>The important point is that these five dimensions are not to be considered as independent variables operating in isolation. Their developmental significance is in their correspondence and interaction.</w:t>
      </w:r>
    </w:p>
    <w:p w14:paraId="4ED17C6C">
      <w:pPr>
        <w:spacing w:before="240"/>
        <w:jc w:val="both"/>
        <w:rPr>
          <w:rFonts w:eastAsia="Calibri"/>
          <w:szCs w:val="24"/>
        </w:rPr>
      </w:pPr>
      <w:r>
        <w:rPr>
          <w:rFonts w:eastAsia="Calibri"/>
          <w:szCs w:val="24"/>
        </w:rPr>
        <w:t xml:space="preserve">A country can have an excellent development strategy, but achieve little if the institutions are not capable of implementing it. It may have capable institutions, but producing poor outcomes where governance is plagued by corruption, poor accountability or policy uncertainty. Likewise, government can provide infrastructure and regulation, but development outcomes may be limited if businesses, universities and communities do not work together in a meaningful way. Economic growth can be achieved without real development, i.e. without social inclusion, without protection of the environment and without inter-generational considerations. </w:t>
      </w:r>
    </w:p>
    <w:p w14:paraId="559F1E83">
      <w:pPr>
        <w:spacing w:before="240"/>
        <w:jc w:val="both"/>
        <w:rPr>
          <w:rFonts w:eastAsia="Calibri"/>
          <w:szCs w:val="24"/>
        </w:rPr>
      </w:pPr>
      <w:r>
        <w:rPr>
          <w:rFonts w:eastAsia="Calibri"/>
          <w:szCs w:val="24"/>
        </w:rPr>
        <w:t xml:space="preserve">I do not suggest that strategic direction, governance, institutions, stakeholders and sustainability are new ideas in and of themselves. My contribution is to weave these strands into an alignment framework for examining how national resources and capabilities can be translated into sustainable development outcomes. </w:t>
      </w:r>
    </w:p>
    <w:p w14:paraId="54627B47">
      <w:pPr>
        <w:spacing w:before="240"/>
        <w:jc w:val="both"/>
        <w:rPr>
          <w:rFonts w:eastAsia="Calibri"/>
          <w:b/>
          <w:bCs/>
          <w:szCs w:val="24"/>
        </w:rPr>
      </w:pPr>
      <w:r>
        <w:rPr>
          <w:rFonts w:eastAsia="Calibri"/>
          <w:b/>
          <w:bCs/>
          <w:szCs w:val="24"/>
        </w:rPr>
        <w:t>9.1 Strategic Orientation: Intentional Leadership and Growth.</w:t>
      </w:r>
    </w:p>
    <w:p w14:paraId="61203E03">
      <w:pPr>
        <w:spacing w:before="240"/>
        <w:jc w:val="both"/>
        <w:rPr>
          <w:rFonts w:eastAsia="Calibri"/>
          <w:szCs w:val="24"/>
        </w:rPr>
      </w:pPr>
      <w:r>
        <w:rPr>
          <w:rFonts w:eastAsia="Calibri"/>
          <w:szCs w:val="24"/>
        </w:rPr>
        <w:t xml:space="preserve">The first pillar of the SGDAF is strategic direction. Strategic direction is the ability of political leaders and public institutions to formulate a compelling national vision, to establish priorities, to develop coherent policies, to allocate funds in accordance with those priorities, and to sustain the agenda over time. Development cannot be achieved through disjointed programs, short term political responses or policies which change with every change of leadership. It requires a clear national purpose and sufficient continuity to see strategic investments come to fruition. </w:t>
      </w:r>
    </w:p>
    <w:p w14:paraId="2CF7F685">
      <w:pPr>
        <w:spacing w:before="240"/>
        <w:jc w:val="both"/>
        <w:rPr>
          <w:rFonts w:eastAsia="Calibri"/>
          <w:szCs w:val="24"/>
        </w:rPr>
      </w:pPr>
      <w:r>
        <w:rPr>
          <w:rFonts w:eastAsia="Calibri"/>
          <w:szCs w:val="24"/>
        </w:rPr>
        <w:t xml:space="preserve">As we have seen in this lecture with the experiences of Singapore, Botswana, Mauritius, South Korea and the United Arab Emirates, strategic direction matters. Their development paths cannot be explained solely by natural resource endowments. Their experiences include, among other things, the pursuit of identifiable national objectives, strategic investment in human and physical capital, institutional discipline, policy coordination, and sustained commitment to long-term development priorities. </w:t>
      </w:r>
    </w:p>
    <w:p w14:paraId="3FB928B4">
      <w:pPr>
        <w:spacing w:before="240"/>
        <w:jc w:val="both"/>
        <w:rPr>
          <w:rFonts w:eastAsia="Calibri"/>
          <w:szCs w:val="24"/>
        </w:rPr>
      </w:pPr>
      <w:r>
        <w:rPr>
          <w:rFonts w:eastAsia="Calibri"/>
          <w:szCs w:val="24"/>
        </w:rPr>
        <w:t xml:space="preserve">Nigeria, too, has shown a clear understanding of the need for national planning. Over time, the country has implemented various development plans such as Vision 2010, Vision 20:2020, Economic Recovery and Growth Plan (ERGP), National Development Plan (2021–2025) and Renewed Hope Agenda. These efforts demonstrate that the country has not been lacking in ideas on development. The difficulty has been translating strategic ideas into steady, persistent application. Governments have changed and so have priorities altered. Policies might be ended early, before they have had a chance to deliver their desired benefits and institutional dispersion can give rise to coordination challenges. In some cases, monitoring and evaluation have not been adequately integrated into the policy cycle to enable governments to learn systematically from implementation experience. </w:t>
      </w:r>
    </w:p>
    <w:p w14:paraId="3D5B59CE">
      <w:pPr>
        <w:spacing w:before="240"/>
        <w:jc w:val="both"/>
        <w:rPr>
          <w:rFonts w:eastAsia="Calibri"/>
          <w:szCs w:val="24"/>
        </w:rPr>
      </w:pPr>
      <w:r>
        <w:rPr>
          <w:rFonts w:eastAsia="Calibri"/>
          <w:szCs w:val="24"/>
        </w:rPr>
        <w:t xml:space="preserve">The lesson from SGDAF is clear. Development needs strategic continuity. </w:t>
      </w:r>
      <w:r>
        <w:rPr>
          <w:rFonts w:eastAsia="Calibri"/>
          <w:szCs w:val="24"/>
        </w:rPr>
        <w:br w:type="textWrapping"/>
      </w:r>
      <w:r>
        <w:rPr>
          <w:rFonts w:eastAsia="Calibri"/>
          <w:szCs w:val="24"/>
        </w:rPr>
        <w:t xml:space="preserve">A national development strategy must transcend the electoral cycle. It does not mean successive governments should be deprived of the opportunity of introducing new policies. Instead, new policies should be rooted in a lasting national architecture of development. Political administrations should be free to implement their own programs, while guaranteeing the continuity of strategic investments that take time to bear fruit. Strategic direction provides development with purpose, priorities and direction. Yet direction is not enough. But without implementation, it’s a hope. This must therefore be underpinned by responsible governance and capable institutions. </w:t>
      </w:r>
    </w:p>
    <w:p w14:paraId="74911A8F">
      <w:pPr>
        <w:spacing w:before="240"/>
        <w:jc w:val="both"/>
        <w:rPr>
          <w:rFonts w:eastAsia="Calibri"/>
          <w:b/>
          <w:bCs/>
          <w:szCs w:val="24"/>
        </w:rPr>
      </w:pPr>
      <w:r>
        <w:rPr>
          <w:rFonts w:eastAsia="Calibri"/>
          <w:b/>
          <w:bCs/>
          <w:szCs w:val="24"/>
        </w:rPr>
        <w:t xml:space="preserve">9.2 Good governance: institutions matter more than intentions </w:t>
      </w:r>
    </w:p>
    <w:p w14:paraId="7DB4E146">
      <w:pPr>
        <w:spacing w:before="240"/>
        <w:jc w:val="both"/>
        <w:rPr>
          <w:rFonts w:eastAsia="Calibri"/>
          <w:szCs w:val="24"/>
        </w:rPr>
      </w:pPr>
      <w:r>
        <w:rPr>
          <w:rFonts w:eastAsia="Calibri"/>
          <w:szCs w:val="24"/>
        </w:rPr>
        <w:t xml:space="preserve">The second is good governance. One of the primary messages of this presentation is the necessity of quality of governance in translating development policies into concrete results. Good governance is at the heart of economic performance, institutional effectiveness, social progress and public trust. This has been demonstrated time and again by institutions such as the World Bank, UNDP, OECD, Transparency International and the Ibrahim Index of African Governance. </w:t>
      </w:r>
    </w:p>
    <w:p w14:paraId="1F33280D">
      <w:pPr>
        <w:spacing w:before="240"/>
        <w:jc w:val="both"/>
        <w:rPr>
          <w:rFonts w:eastAsia="Calibri"/>
          <w:szCs w:val="24"/>
        </w:rPr>
      </w:pPr>
      <w:r>
        <w:rPr>
          <w:rFonts w:eastAsia="Calibri"/>
          <w:szCs w:val="24"/>
        </w:rPr>
        <w:t xml:space="preserve">Good governance is far more than just having government in place. This encompasses openness, accountability, rule of law, effectiveness of rules, administrative competence, budgetary responsibility, efficiency of public sector, credible anti-corruption and significant possibilities for citizen engagement. Where these circumstances are weak the consequences for development can be large. Poor governance can impact investment, raise transaction costs, weaken public institutions, misallocate public resources, impair service delivery and undermine citizens’ confidence in government. It may also increase poverty, inequality, unemployment, insecurity, and other forms of social vulnerability.  And vice versa, when institutions are more predictable, transparent, accountable and competent, firms are more willing to invest, citizens are more likely to trust public institutions and public resources are more likely to be transformed into developmental value. </w:t>
      </w:r>
    </w:p>
    <w:p w14:paraId="08944AAD">
      <w:pPr>
        <w:spacing w:before="240"/>
        <w:jc w:val="both"/>
        <w:rPr>
          <w:rFonts w:eastAsia="Calibri"/>
          <w:szCs w:val="24"/>
        </w:rPr>
      </w:pPr>
      <w:r>
        <w:rPr>
          <w:rFonts w:eastAsia="Calibri"/>
          <w:szCs w:val="24"/>
        </w:rPr>
        <w:t xml:space="preserve">The SGDAF plays an important, but distinct, role for government. The government does not need to accomplish everything itself. Its most enduring contribution to development may be to provide the institutional conditions under which others can accomplish their work well. That entails having good regulations, keeping up infrastructure, safeguarding property rights, enforcing contracts, regulating markets fairly, supporting education and research, providing security, encouraging competition and ensuring accountability in public institutions. Therefore, effective governance is the rules of the development system. It delineates the context in which strategic direction may be executed and institutional skills can be effectively employed. </w:t>
      </w:r>
    </w:p>
    <w:p w14:paraId="3C017B0E">
      <w:pPr>
        <w:pStyle w:val="3"/>
        <w:jc w:val="both"/>
        <w:rPr>
          <w:rFonts w:ascii="Times New Roman" w:hAnsi="Times New Roman" w:eastAsia="Times New Roman" w:cs="Times New Roman"/>
          <w:b/>
          <w:bCs/>
          <w:color w:val="auto"/>
          <w:sz w:val="24"/>
          <w:szCs w:val="24"/>
        </w:rPr>
      </w:pPr>
      <w:r>
        <w:rPr>
          <w:rFonts w:ascii="Times New Roman" w:hAnsi="Times New Roman" w:cs="Times New Roman"/>
          <w:b/>
          <w:bCs/>
          <w:color w:val="auto"/>
          <w:sz w:val="24"/>
          <w:szCs w:val="24"/>
        </w:rPr>
        <w:t xml:space="preserve">9.3 Institutional Capability: Development Depends on Strong Institutions </w:t>
      </w:r>
    </w:p>
    <w:p w14:paraId="1FDAA85F">
      <w:pPr>
        <w:spacing w:before="240"/>
        <w:jc w:val="both"/>
        <w:rPr>
          <w:rFonts w:eastAsia="Calibri"/>
          <w:szCs w:val="24"/>
        </w:rPr>
      </w:pPr>
      <w:r>
        <w:rPr>
          <w:rFonts w:eastAsia="Calibri"/>
          <w:szCs w:val="24"/>
        </w:rPr>
        <w:t xml:space="preserve">The third pillar is the institutional capacity. Institutions are the instruments through which development strategies are put into practice. Even the best drafted policies may be little more than assertions of desire without competent institutions. Institutions are the organisational processes by which societies translate decisions into action. Public policy is developed by government agencies; knowledge and human capital are developed by universities; investment is mobilised and jobs created by business; capital is allocated by financial institutions; standards are set by professional bodies; and local knowledge, participation, monitoring and social legitimacy are provided by communities. The success of these institutions is in great part related on their capabilities. </w:t>
      </w:r>
    </w:p>
    <w:p w14:paraId="227A07A6">
      <w:pPr>
        <w:spacing w:before="240"/>
        <w:jc w:val="both"/>
        <w:rPr>
          <w:rFonts w:eastAsia="Calibri"/>
          <w:szCs w:val="24"/>
        </w:rPr>
      </w:pPr>
      <w:r>
        <w:rPr>
          <w:rFonts w:eastAsia="Calibri"/>
          <w:szCs w:val="24"/>
        </w:rPr>
        <w:t xml:space="preserve">We should consider institutional capability in a broad way. Not only physical infrastructure and financial resources but also competent leadership, skilled personnel, technological capacity, effective organisational systems, institutional memory, financial sustainability, learning capacity, coordination mechanisms, autonomy and credible regulatory arrangements.  For example, the experience of TETFund is a case of how constant institutional support for higher education can lead to post-graduate education, research capacity, laboratories, infrastructure and academic advancement. Likewise, this lecture’s topic on business development has shown that private sector competitiveness depends on infrastructure, security, policy consistency, availability to capital, skilled labour and a stable macroeconomic environment. </w:t>
      </w:r>
    </w:p>
    <w:p w14:paraId="3E843B8E">
      <w:pPr>
        <w:spacing w:before="240"/>
        <w:jc w:val="both"/>
        <w:rPr>
          <w:rFonts w:eastAsia="Calibri"/>
          <w:szCs w:val="24"/>
        </w:rPr>
      </w:pPr>
      <w:r>
        <w:rPr>
          <w:rFonts w:eastAsia="Calibri"/>
          <w:szCs w:val="24"/>
        </w:rPr>
        <w:t xml:space="preserve">Another aspect of institutional capacity is participation of the community. Projects designed, implemented, monitored and maintained by local communities are more likely to be sustained. Partici pation fosters ownership and can improve the match between programs and the real requirements on the ground. </w:t>
      </w:r>
    </w:p>
    <w:p w14:paraId="71ED7EAA">
      <w:pPr>
        <w:spacing w:before="240"/>
        <w:jc w:val="both"/>
        <w:rPr>
          <w:rFonts w:eastAsia="Calibri"/>
          <w:szCs w:val="24"/>
        </w:rPr>
      </w:pPr>
      <w:r>
        <w:rPr>
          <w:rFonts w:eastAsia="Calibri"/>
          <w:szCs w:val="24"/>
        </w:rPr>
        <w:t xml:space="preserve">A lesson that keeps coming up from Nigeria’s experience is that implementation failure is often an institutional problem, not simply a policy problem. Policies may seem promising on paper but provide lacklustre results because the organisations responsible for executing them are short of the resources, skills, coordination, incentives or independence to do so. </w:t>
      </w:r>
    </w:p>
    <w:p w14:paraId="3F2135EC">
      <w:pPr>
        <w:spacing w:before="240"/>
        <w:jc w:val="both"/>
        <w:rPr>
          <w:rFonts w:eastAsia="Calibri"/>
          <w:szCs w:val="24"/>
        </w:rPr>
      </w:pPr>
      <w:r>
        <w:rPr>
          <w:rFonts w:eastAsia="Calibri"/>
          <w:szCs w:val="24"/>
        </w:rPr>
        <w:t>Thus, institutions are at the center of the reform process of SGDAF.</w:t>
      </w:r>
    </w:p>
    <w:p w14:paraId="781E6371">
      <w:pPr>
        <w:spacing w:before="240"/>
        <w:jc w:val="both"/>
        <w:rPr>
          <w:rFonts w:eastAsia="Calibri"/>
          <w:szCs w:val="24"/>
        </w:rPr>
      </w:pPr>
      <w:r>
        <w:rPr>
          <w:rFonts w:eastAsia="Calibri"/>
          <w:szCs w:val="24"/>
        </w:rPr>
        <w:t xml:space="preserve">Institutions are the vehicles through which strategic intentions are converted into developmental outcomes. Strategic direction answers the question, “Where do we want to go?” Responsible governance addresses “What rules should guide the journey?” Institutional capability answers “Do we have the capacity to get there?”  But development cannot be sustained by government institutions alone. This leads directly to the fourth pillar. </w:t>
      </w:r>
    </w:p>
    <w:p w14:paraId="40D9D58B">
      <w:pPr>
        <w:spacing w:before="240"/>
        <w:jc w:val="both"/>
        <w:rPr>
          <w:rFonts w:eastAsia="Calibri"/>
          <w:b/>
          <w:bCs/>
          <w:szCs w:val="24"/>
        </w:rPr>
      </w:pPr>
      <w:r>
        <w:rPr>
          <w:rFonts w:eastAsia="Calibri"/>
          <w:b/>
          <w:bCs/>
          <w:szCs w:val="24"/>
        </w:rPr>
        <w:t xml:space="preserve">9.4 Creating Value for Stakeholders: Development as a Collaborative Process </w:t>
      </w:r>
    </w:p>
    <w:p w14:paraId="7FE21A1F">
      <w:pPr>
        <w:spacing w:after="100" w:afterAutospacing="1"/>
        <w:jc w:val="both"/>
        <w:rPr>
          <w:rFonts w:eastAsia="Calibri"/>
          <w:szCs w:val="24"/>
        </w:rPr>
      </w:pPr>
      <w:r>
        <w:rPr>
          <w:rFonts w:eastAsia="Calibri"/>
          <w:szCs w:val="24"/>
        </w:rPr>
        <w:t xml:space="preserve">Perhaps the most striking aspect of the Strategic Governance Development Alignment Framework is its focus on stakeholder value creation. Development theory has been in the attention of the development administration for a long time of its history. It was the role of government to provide infrastructure, education, health care, jobs, industrialisation, agricultural development and other public goods. The necessity for government remains; yet the development problems we face today are far too complex and interrelated for any one institution to solve. </w:t>
      </w:r>
    </w:p>
    <w:p w14:paraId="2011154B">
      <w:pPr>
        <w:spacing w:after="100" w:afterAutospacing="1"/>
        <w:jc w:val="both"/>
        <w:rPr>
          <w:rFonts w:eastAsia="Calibri"/>
          <w:szCs w:val="24"/>
        </w:rPr>
      </w:pPr>
      <w:r>
        <w:rPr>
          <w:rFonts w:eastAsia="Calibri"/>
          <w:szCs w:val="24"/>
        </w:rPr>
        <w:t xml:space="preserve">I think that sustainable national development should be viewed as a collective endeavour of government, universities, corporate entities, civil society and communities. Each actor may have resources and traits lacking in the other. The government is there to provide policy direction, legislation, infrastructure, public goods and an enabling institutional environment. Universities generate knowledge and research, train human capital and develop innovation. Businesses mobilise investment, create jobs, produce goods and services, commercialise inventions and contribute to public revenue. Communities give local knowledge, social validity, participation, ownership and accountability. Civil society organisations can support lobbying, social accountability, citizen engagement and independent monitoring. </w:t>
      </w:r>
    </w:p>
    <w:p w14:paraId="4A6AA5CD">
      <w:pPr>
        <w:spacing w:after="100" w:afterAutospacing="1"/>
        <w:jc w:val="both"/>
        <w:rPr>
          <w:rFonts w:eastAsia="Calibri"/>
          <w:szCs w:val="24"/>
        </w:rPr>
      </w:pPr>
      <w:r>
        <w:rPr>
          <w:rFonts w:eastAsia="Calibri"/>
          <w:szCs w:val="24"/>
        </w:rPr>
        <w:t xml:space="preserve">The question is not what each institution can do alone but what can be done with their capacities strategically integrated. Imagine a university has come up with a new technical innovation that looks promising. Academic research on its own might be insufficient to translate such innovation into a product with social value. It may mean business investment, protection of intellectual property, suitable legislation, infrastructure, qualified workers and access to markets. Similarly, the government may provide a public facility but its long term effectiveness may depend on community ownership, competent administration, sufficient financing and institutional responsibility. Impact on investment decisions is affected by the quality of infrastructure, security, regulatory predictability, taxation, human capital and the broader institutional context in which firms have the financial resources and entrepreneurial capability to invest. </w:t>
      </w:r>
    </w:p>
    <w:p w14:paraId="78679537">
      <w:pPr>
        <w:spacing w:after="100" w:afterAutospacing="1"/>
        <w:jc w:val="both"/>
        <w:rPr>
          <w:rFonts w:eastAsia="Calibri"/>
          <w:szCs w:val="24"/>
        </w:rPr>
      </w:pPr>
      <w:r>
        <w:rPr>
          <w:rFonts w:eastAsia="Calibri"/>
          <w:szCs w:val="24"/>
        </w:rPr>
        <w:t xml:space="preserve">Thus, they lead us back to the heart of the SGDAF proposition: that development value is created in the sites of interaction between institutions. </w:t>
      </w:r>
    </w:p>
    <w:p w14:paraId="38D466D4">
      <w:pPr>
        <w:spacing w:after="100" w:afterAutospacing="1"/>
        <w:jc w:val="both"/>
        <w:rPr>
          <w:rFonts w:eastAsia="Calibri"/>
          <w:szCs w:val="24"/>
        </w:rPr>
      </w:pPr>
      <w:r>
        <w:rPr>
          <w:rFonts w:eastAsia="Calibri"/>
          <w:szCs w:val="24"/>
        </w:rPr>
        <w:t xml:space="preserve">The framework extends stakeholder theory logic outside the confines of the individual firm. Stakeholder interactions are not just essential for the governance of the organization. They are as much necessary for the government of the progress. National development can be understood as a process of joint and intertwined value creation, where multiple institutions contribute with complementary resources, knowledge, capacities and legitimacy toward common developmental goals. This is especially crucial for corporate social responsibility. CSR shouldn’t be restricted to individual donations or philanthropic capitalism. Corporations may create more national value by integrating their social investments with education, skills development, innovation, entrepreneurship, infrastructure, environmental sustainability, healthcare and other sectors that complement national development priorities. It is not a matter of substituting government for enterprise. It is rather the establishment of a strategic synergy between public responsibility and private capabilities. </w:t>
      </w:r>
    </w:p>
    <w:p w14:paraId="477992A1">
      <w:pPr>
        <w:spacing w:after="100" w:afterAutospacing="1"/>
        <w:jc w:val="both"/>
        <w:rPr>
          <w:rFonts w:eastAsia="Calibri"/>
          <w:b/>
          <w:bCs/>
          <w:szCs w:val="24"/>
        </w:rPr>
      </w:pPr>
      <w:r>
        <w:rPr>
          <w:rFonts w:eastAsia="Calibri"/>
          <w:b/>
          <w:bCs/>
          <w:szCs w:val="24"/>
        </w:rPr>
        <w:t xml:space="preserve">9.5 Beyond Economic Growth: Orientation Toward Sustainability </w:t>
      </w:r>
    </w:p>
    <w:p w14:paraId="1DFB0C7F">
      <w:pPr>
        <w:spacing w:before="240"/>
        <w:jc w:val="both"/>
        <w:rPr>
          <w:rFonts w:eastAsia="Calibri"/>
          <w:szCs w:val="24"/>
        </w:rPr>
      </w:pPr>
      <w:r>
        <w:rPr>
          <w:rFonts w:eastAsia="Calibri"/>
          <w:szCs w:val="24"/>
        </w:rPr>
        <w:t>The fifth pillar of the framework is the sustainability orientation. A major argument in this address is that progress should not be identified with economic growth simply. An economy can grow its GDP while huge sections of its people continue to suffer from poverty, unemployment, insecurity, inequality, poor health care, inadequate school outcomes or environmental degradation. “Economic growth is necessary, but not sufficient.</w:t>
      </w:r>
    </w:p>
    <w:p w14:paraId="431B2E17">
      <w:pPr>
        <w:spacing w:before="240"/>
        <w:jc w:val="both"/>
        <w:rPr>
          <w:rFonts w:eastAsia="Calibri"/>
          <w:szCs w:val="24"/>
        </w:rPr>
      </w:pPr>
      <w:r>
        <w:rPr>
          <w:rFonts w:eastAsia="Calibri"/>
          <w:szCs w:val="24"/>
        </w:rPr>
        <w:t>Progress in sustainable development implies a larger notion of progress including: a. economic success; b. human well-being and social inclusion; c. guardianship of the environment; d. robustness of institutions, and e. intergenerational equity.</w:t>
      </w:r>
    </w:p>
    <w:p w14:paraId="04C40CEA">
      <w:pPr>
        <w:spacing w:before="240"/>
        <w:jc w:val="both"/>
        <w:rPr>
          <w:rFonts w:eastAsia="Calibri"/>
          <w:szCs w:val="24"/>
        </w:rPr>
      </w:pPr>
      <w:r>
        <w:rPr>
          <w:rFonts w:eastAsia="Calibri"/>
          <w:szCs w:val="24"/>
        </w:rPr>
        <w:t>The experience of the countries discussed in this lecture indicates that enduring prosperity needs investments that are beyond the immediate economic gains. Development systems that encompass education, health care, infrastructure, innovation, institutional quality, environmental preservation and social inclusion are more resilient over the long term. The SGDAF links strategic management and governance with the broader concepts expressed in the United Nations Sustainable Development Goals (SDGs). And finally, progress is about better lives. The question is not that the national income has increased. We should also enquire:</w:t>
      </w:r>
    </w:p>
    <w:p w14:paraId="70301757">
      <w:pPr>
        <w:spacing w:before="240"/>
        <w:jc w:val="both"/>
        <w:rPr>
          <w:rFonts w:eastAsia="Calibri"/>
          <w:szCs w:val="24"/>
        </w:rPr>
      </w:pPr>
      <w:r>
        <w:rPr>
          <w:rFonts w:eastAsia="Calibri"/>
          <w:szCs w:val="24"/>
        </w:rPr>
        <w:t>i. Are people living healthier and safer life?</w:t>
      </w:r>
    </w:p>
    <w:p w14:paraId="7FFC567E">
      <w:pPr>
        <w:spacing w:before="240"/>
        <w:jc w:val="both"/>
        <w:rPr>
          <w:rFonts w:eastAsia="Calibri"/>
          <w:szCs w:val="24"/>
        </w:rPr>
      </w:pPr>
      <w:r>
        <w:rPr>
          <w:rFonts w:eastAsia="Calibri"/>
          <w:szCs w:val="24"/>
        </w:rPr>
        <w:t>ii. Are educational and economic opportunities more open?</w:t>
      </w:r>
    </w:p>
    <w:p w14:paraId="0E8F2393">
      <w:pPr>
        <w:spacing w:before="240"/>
        <w:jc w:val="both"/>
        <w:rPr>
          <w:rFonts w:eastAsia="Calibri"/>
          <w:szCs w:val="24"/>
        </w:rPr>
      </w:pPr>
      <w:r>
        <w:rPr>
          <w:rFonts w:eastAsia="Calibri"/>
          <w:szCs w:val="24"/>
        </w:rPr>
        <w:t>iii. Are institutions becoming more efficient, more transparent and more credible?</w:t>
      </w:r>
    </w:p>
    <w:p w14:paraId="2454855D">
      <w:pPr>
        <w:spacing w:before="240"/>
        <w:jc w:val="both"/>
        <w:rPr>
          <w:rFonts w:eastAsia="Calibri"/>
          <w:szCs w:val="24"/>
        </w:rPr>
      </w:pPr>
      <w:r>
        <w:rPr>
          <w:rFonts w:eastAsia="Calibri"/>
          <w:szCs w:val="24"/>
        </w:rPr>
        <w:t>iv Are companies becoming more productive and competitive?</w:t>
      </w:r>
    </w:p>
    <w:p w14:paraId="598CF4C9">
      <w:pPr>
        <w:spacing w:before="240"/>
        <w:jc w:val="both"/>
        <w:rPr>
          <w:rFonts w:eastAsia="Calibri"/>
          <w:szCs w:val="24"/>
        </w:rPr>
      </w:pPr>
      <w:r>
        <w:rPr>
          <w:rFonts w:eastAsia="Calibri"/>
          <w:szCs w:val="24"/>
        </w:rPr>
        <w:t>v. Are communities meaningfully involved in development?</w:t>
      </w:r>
    </w:p>
    <w:p w14:paraId="0F979F1C">
      <w:pPr>
        <w:spacing w:before="240"/>
        <w:jc w:val="both"/>
        <w:rPr>
          <w:rFonts w:eastAsia="Calibri"/>
          <w:szCs w:val="24"/>
        </w:rPr>
      </w:pPr>
      <w:r>
        <w:rPr>
          <w:rFonts w:eastAsia="Calibri"/>
          <w:szCs w:val="24"/>
        </w:rPr>
        <w:t>vi. Are we achieving development now without compromising the opportunities of future generations?</w:t>
      </w:r>
    </w:p>
    <w:p w14:paraId="46BFB1B7">
      <w:pPr>
        <w:spacing w:before="240"/>
        <w:jc w:val="both"/>
        <w:rPr>
          <w:rFonts w:eastAsia="Calibri"/>
          <w:szCs w:val="24"/>
        </w:rPr>
      </w:pPr>
      <w:r>
        <w:rPr>
          <w:rFonts w:eastAsia="Calibri"/>
          <w:szCs w:val="24"/>
        </w:rPr>
        <w:t>This set of questions places sustainability at the center of strategic governance. The SGDAF therefore contends that economic advancement, social well-being, institutional strength, environmental responsibility and stakeholder interests cannot be regarded as incompatible policy objectives. Well controlled they can become mutually reinforcing aspects of sustained national growth.</w:t>
      </w:r>
    </w:p>
    <w:p w14:paraId="43118A54">
      <w:pPr>
        <w:spacing w:before="240"/>
        <w:jc w:val="both"/>
        <w:rPr>
          <w:rFonts w:eastAsia="Calibri"/>
          <w:b/>
          <w:bCs/>
          <w:szCs w:val="24"/>
        </w:rPr>
      </w:pPr>
      <w:r>
        <w:rPr>
          <w:rFonts w:eastAsia="Calibri"/>
          <w:b/>
          <w:bCs/>
          <w:szCs w:val="24"/>
        </w:rPr>
        <w:t>9.6 Alignment Logic of the SGDAF</w:t>
      </w:r>
    </w:p>
    <w:p w14:paraId="12F491FC">
      <w:pPr>
        <w:spacing w:before="240"/>
        <w:jc w:val="both"/>
        <w:rPr>
          <w:rFonts w:eastAsia="Calibri"/>
          <w:szCs w:val="24"/>
        </w:rPr>
      </w:pPr>
      <w:r>
        <w:rPr>
          <w:rFonts w:eastAsia="Calibri"/>
          <w:szCs w:val="24"/>
        </w:rPr>
        <w:t>The framework suggests the following logic of development:</w:t>
      </w:r>
    </w:p>
    <w:p w14:paraId="4B911F60">
      <w:pPr>
        <w:spacing w:before="240"/>
        <w:jc w:val="both"/>
        <w:rPr>
          <w:rFonts w:eastAsia="Calibri"/>
          <w:szCs w:val="24"/>
        </w:rPr>
      </w:pPr>
      <w:r>
        <w:rPr>
          <w:rFonts w:eastAsia="Calibri"/>
          <w:szCs w:val="24"/>
        </w:rPr>
        <w:t>Strategic Direction → Responsible Governance → Institutional Capacity → Stakeholder Value Creation → Sustainability → Sustainable Development Results</w:t>
      </w:r>
    </w:p>
    <w:p w14:paraId="196D93DF">
      <w:pPr>
        <w:spacing w:before="240"/>
        <w:jc w:val="both"/>
        <w:rPr>
          <w:rFonts w:eastAsia="Calibri"/>
          <w:szCs w:val="24"/>
        </w:rPr>
      </w:pPr>
      <w:r>
        <w:rPr>
          <w:rFonts w:eastAsia="Calibri"/>
          <w:szCs w:val="24"/>
        </w:rPr>
        <w:t xml:space="preserve">But we should not consider this as a simple line. In practice the relationship is dynamic and reinforcing. </w:t>
      </w:r>
    </w:p>
    <w:p w14:paraId="1BCE9E5E">
      <w:pPr>
        <w:spacing w:before="240"/>
        <w:jc w:val="both"/>
        <w:rPr>
          <w:rFonts w:eastAsia="Calibri"/>
          <w:szCs w:val="24"/>
        </w:rPr>
      </w:pPr>
      <w:r>
        <w:rPr>
          <w:rFonts w:eastAsia="Calibri"/>
          <w:szCs w:val="24"/>
        </w:rPr>
        <w:t>Strategic direction defines national purpose. Responsible governance specifies the procedures and checks and balances for pursuing such aim. Institutional capability is the capacity to deliver on strategic priorities. Stakeholder value creation is about mobilising the complementary resources and competencies of government, business, universities, communities and other players. Sustainability orientation means that development outcomes are commercially viable, socially inclusive, environmentally friendly and resilient over time.</w:t>
      </w:r>
    </w:p>
    <w:p w14:paraId="609E3325">
      <w:pPr>
        <w:spacing w:before="240"/>
        <w:jc w:val="both"/>
        <w:rPr>
          <w:rFonts w:eastAsia="Calibri"/>
          <w:szCs w:val="24"/>
        </w:rPr>
      </w:pPr>
      <w:r>
        <w:rPr>
          <w:rFonts w:eastAsia="Calibri"/>
          <w:szCs w:val="24"/>
        </w:rPr>
        <w:t>This relationship can thus be understood as:</w:t>
      </w:r>
    </w:p>
    <w:p w14:paraId="301CF8B8">
      <w:pPr>
        <w:spacing w:before="240"/>
        <w:jc w:val="both"/>
        <w:rPr>
          <w:rFonts w:eastAsia="Calibri"/>
          <w:szCs w:val="24"/>
        </w:rPr>
      </w:pPr>
      <w:r>
        <w:rPr>
          <w:rFonts w:eastAsia="Calibri"/>
          <w:szCs w:val="24"/>
        </w:rPr>
        <w:t xml:space="preserve">Strategic Direction </w:t>
      </w:r>
    </w:p>
    <w:p w14:paraId="627E825C">
      <w:pPr>
        <w:spacing w:before="240"/>
        <w:jc w:val="both"/>
        <w:rPr>
          <w:rFonts w:eastAsia="Calibri"/>
          <w:szCs w:val="24"/>
        </w:rPr>
      </w:pPr>
      <w:r>
        <w:rPr>
          <w:rFonts w:eastAsia="Calibri"/>
          <w:szCs w:val="24"/>
        </w:rPr>
        <w:t xml:space="preserve">↓ Responsible Governance </w:t>
      </w:r>
    </w:p>
    <w:p w14:paraId="2A5BE342">
      <w:pPr>
        <w:spacing w:before="240"/>
        <w:jc w:val="both"/>
        <w:rPr>
          <w:rFonts w:eastAsia="Calibri"/>
          <w:szCs w:val="24"/>
        </w:rPr>
      </w:pPr>
      <w:r>
        <w:rPr>
          <w:rFonts w:eastAsia="Calibri"/>
          <w:szCs w:val="24"/>
        </w:rPr>
        <w:t xml:space="preserve">↕ Institutional Capacity </w:t>
      </w:r>
    </w:p>
    <w:p w14:paraId="222A1AAB">
      <w:pPr>
        <w:spacing w:before="240"/>
        <w:jc w:val="both"/>
        <w:rPr>
          <w:rFonts w:eastAsia="Calibri"/>
          <w:szCs w:val="24"/>
        </w:rPr>
      </w:pPr>
      <w:r>
        <w:rPr>
          <w:rFonts w:eastAsia="Calibri"/>
          <w:szCs w:val="24"/>
        </w:rPr>
        <w:t xml:space="preserve">↕ Stakeholder Coordination / Value Creation </w:t>
      </w:r>
    </w:p>
    <w:p w14:paraId="444DD4BB">
      <w:pPr>
        <w:spacing w:before="240"/>
        <w:jc w:val="both"/>
        <w:rPr>
          <w:rFonts w:eastAsia="Calibri"/>
          <w:szCs w:val="24"/>
        </w:rPr>
      </w:pPr>
      <w:r>
        <w:rPr>
          <w:rFonts w:eastAsia="Calibri"/>
          <w:szCs w:val="24"/>
        </w:rPr>
        <w:t xml:space="preserve">↕ Sustainability </w:t>
      </w:r>
    </w:p>
    <w:p w14:paraId="78E6F620">
      <w:pPr>
        <w:spacing w:before="240"/>
        <w:jc w:val="both"/>
        <w:rPr>
          <w:rFonts w:eastAsia="Calibri"/>
          <w:szCs w:val="24"/>
        </w:rPr>
      </w:pPr>
      <w:r>
        <w:rPr>
          <w:rFonts w:eastAsia="Calibri"/>
          <w:szCs w:val="24"/>
        </w:rPr>
        <w:t>→ Development Outcomes</w:t>
      </w:r>
    </w:p>
    <w:p w14:paraId="4F7D34EB">
      <w:pPr>
        <w:spacing w:before="240"/>
        <w:jc w:val="both"/>
        <w:rPr>
          <w:rFonts w:eastAsia="Calibri"/>
          <w:szCs w:val="24"/>
        </w:rPr>
      </w:pPr>
      <w:r>
        <w:rPr>
          <w:rFonts w:eastAsia="Calibri"/>
          <w:szCs w:val="24"/>
        </w:rPr>
        <w:t xml:space="preserve">The arrows also go back. A country successfully developing itself can enhance institutions, build public trust, produce resources, deepen relationships with interested parties and develop the capacity of government to pursue long-term strategic goals. The framework should be better understood as a dynamic system of alignment rather than as a single five-step process. This distinction is particularly crucial in Nigeria. There is no scarcity of ideas for the development of the country. One of its long-lasting issues is the misalignment between policy goal, governance frameworks, institutional capability, stakeholder participation and long-term sustainability. The framework is therefore intended to make the alignment problem explicit: strategy without implementation leads to plans, governance without strategic direction leads to compliance, institutions without capability leads to formal structures without results, stakeholder participation without coordination leads to a fragmented effort and development without sustainability leads to temporary gains. </w:t>
      </w:r>
    </w:p>
    <w:p w14:paraId="1163E8A0">
      <w:pPr>
        <w:spacing w:before="240"/>
        <w:jc w:val="both"/>
        <w:rPr>
          <w:rFonts w:eastAsia="Calibri"/>
          <w:b/>
          <w:bCs/>
          <w:szCs w:val="24"/>
        </w:rPr>
      </w:pPr>
      <w:r>
        <w:rPr>
          <w:rFonts w:eastAsia="Calibri"/>
          <w:b/>
          <w:bCs/>
          <w:szCs w:val="24"/>
        </w:rPr>
        <w:t xml:space="preserve">9.7 The SGDAF as a Strategic Governance Perspective </w:t>
      </w:r>
    </w:p>
    <w:p w14:paraId="40E00004">
      <w:pPr>
        <w:spacing w:before="240"/>
        <w:jc w:val="both"/>
        <w:rPr>
          <w:rFonts w:eastAsia="Calibri"/>
          <w:szCs w:val="24"/>
        </w:rPr>
      </w:pPr>
      <w:r>
        <w:rPr>
          <w:rFonts w:eastAsia="Calibri"/>
          <w:szCs w:val="24"/>
        </w:rPr>
        <w:t xml:space="preserve">A major conceptual contribution of the framework is the integration of issues that are frequently treated independently. Traditionally the emphasis in strategic management has been with how businesses determine direction, distribute assets, react to environmental situations, create value and achieve competitive advantage. Corporate governance is related to responsibility, monitoring, interests of stakeholders, ethical behaviour and responsible behaviour of organization. Development studies include economic change, institutional quality, human development, poverty alleviation, social inclusion and sustainability. The SGDAF integrates these ideas in the wider context of national development. </w:t>
      </w:r>
    </w:p>
    <w:p w14:paraId="6C6D74A3">
      <w:pPr>
        <w:spacing w:before="240"/>
        <w:jc w:val="both"/>
        <w:rPr>
          <w:rFonts w:eastAsia="Calibri"/>
          <w:szCs w:val="24"/>
        </w:rPr>
      </w:pPr>
      <w:r>
        <w:rPr>
          <w:rFonts w:eastAsia="Calibri"/>
          <w:szCs w:val="24"/>
        </w:rPr>
        <w:t xml:space="preserve">It argues that strategic management should not be limited inside the limits of the corporation, especially in the emerging economies where institutional and societal constraints have profound impact on organisational performance. Likewise, corporate governance should not be considered exclusively as an internal instrument for managing management and protecting shareholders. Its concepts of accountability, transparency, responsible decision making, consideration for stakeholders and long-term value creation have wider implications for public institutions and national development. The framework is a major junction of strategic management, corporate governance, institutional theory, stakeholder theory and sustainable development. </w:t>
      </w:r>
    </w:p>
    <w:p w14:paraId="3E209397">
      <w:pPr>
        <w:spacing w:before="240"/>
        <w:jc w:val="both"/>
        <w:rPr>
          <w:rFonts w:eastAsia="Calibri"/>
          <w:szCs w:val="24"/>
        </w:rPr>
      </w:pPr>
      <w:r>
        <w:rPr>
          <w:rFonts w:eastAsia="Calibri"/>
          <w:szCs w:val="24"/>
        </w:rPr>
        <w:t xml:space="preserve">Its principal question is: How can responsible governance use the strategic talents of different institutions to create lasting benefit for society? This question shifts the debate from performance of the organization to performance of the system. </w:t>
      </w:r>
    </w:p>
    <w:p w14:paraId="02CAE3CC">
      <w:pPr>
        <w:spacing w:before="240"/>
        <w:jc w:val="both"/>
        <w:rPr>
          <w:rFonts w:eastAsia="Calibri"/>
          <w:b/>
          <w:bCs/>
          <w:szCs w:val="24"/>
        </w:rPr>
      </w:pPr>
      <w:r>
        <w:rPr>
          <w:rFonts w:eastAsia="Calibri"/>
          <w:b/>
          <w:bCs/>
          <w:szCs w:val="24"/>
        </w:rPr>
        <w:t xml:space="preserve">9.8 The Nigerian Development Mission </w:t>
      </w:r>
    </w:p>
    <w:p w14:paraId="3C91B7B7">
      <w:pPr>
        <w:spacing w:before="240"/>
        <w:jc w:val="both"/>
        <w:rPr>
          <w:rFonts w:eastAsia="Calibri"/>
          <w:szCs w:val="24"/>
        </w:rPr>
      </w:pPr>
      <w:r>
        <w:rPr>
          <w:rFonts w:eastAsia="Calibri"/>
          <w:szCs w:val="24"/>
        </w:rPr>
        <w:t xml:space="preserve">The SGDAF is relevant to Nigeria in theory and in practice. </w:t>
      </w:r>
    </w:p>
    <w:p w14:paraId="3D41C093">
      <w:pPr>
        <w:spacing w:before="240"/>
        <w:jc w:val="both"/>
        <w:rPr>
          <w:rFonts w:eastAsia="Calibri"/>
          <w:szCs w:val="24"/>
        </w:rPr>
      </w:pPr>
      <w:r>
        <w:rPr>
          <w:rFonts w:eastAsia="Calibri"/>
          <w:szCs w:val="24"/>
        </w:rPr>
        <w:t xml:space="preserve">Nigeria has so much potential (Natural resources, human capital, universities, entrepreneurs, Businesses, technology opportunities and big domestic market) for development but potential is not performance.  The major issue is to construct an institutional and governance architecture that can convert these assets into broad-based and sustained growth. </w:t>
      </w:r>
    </w:p>
    <w:p w14:paraId="1E8590C2">
      <w:pPr>
        <w:spacing w:before="240"/>
        <w:jc w:val="both"/>
        <w:rPr>
          <w:rFonts w:eastAsia="Calibri"/>
          <w:szCs w:val="24"/>
        </w:rPr>
      </w:pPr>
      <w:r>
        <w:rPr>
          <w:rFonts w:eastAsia="Calibri"/>
          <w:szCs w:val="24"/>
        </w:rPr>
        <w:t xml:space="preserve">SGDAF maintains simultaneous awareness for all five dimensions. Nigeria requires strategic direction that goes beyond the brief political cycles. There must be responsible governance to improve accountability, transparency, policy credibility and the rule of law. It needs the institutional competence to translate policies and resources into measurable results. It must build stakeholder value that unites government, universities, business, communities and civil society around common developmental objectives. It needs to be a focused on sustainability, so development enhances the lives of today's citizens without jeopardising the opportunities of future generations. </w:t>
      </w:r>
    </w:p>
    <w:p w14:paraId="050F35A7">
      <w:pPr>
        <w:spacing w:before="240"/>
        <w:jc w:val="both"/>
        <w:rPr>
          <w:rFonts w:eastAsia="Calibri"/>
          <w:szCs w:val="24"/>
        </w:rPr>
      </w:pPr>
      <w:r>
        <w:rPr>
          <w:rFonts w:eastAsia="Calibri"/>
          <w:szCs w:val="24"/>
        </w:rPr>
        <w:t xml:space="preserve">If one dimension fails, it can bring down the whole system. You have to have institutional capacity to do good strategy. Institutions that are strong but lack appropriate governance run the risk of becoming ineffectual or of being hijacked by narrow interests. Complex issues may not be resolved by effective governments unless they include stakeholders, who have the knowledge and resources. Un-sustainable economic growth may provide short-term gains at the expense of long-term well-being. So, the five pillars need to be aligned, mutually reinforcing and assessed continuously. </w:t>
      </w:r>
    </w:p>
    <w:p w14:paraId="3389EC9C">
      <w:pPr>
        <w:spacing w:before="240"/>
        <w:jc w:val="both"/>
        <w:rPr>
          <w:rFonts w:eastAsia="Calibri"/>
          <w:b/>
          <w:bCs/>
          <w:szCs w:val="24"/>
        </w:rPr>
      </w:pPr>
      <w:r>
        <w:rPr>
          <w:rFonts w:eastAsia="Calibri"/>
          <w:b/>
          <w:bCs/>
          <w:szCs w:val="24"/>
        </w:rPr>
        <w:t xml:space="preserve">9.9 The Contribution of the SGDAF to Scholarship </w:t>
      </w:r>
    </w:p>
    <w:p w14:paraId="4D46E534">
      <w:pPr>
        <w:spacing w:before="240"/>
        <w:jc w:val="both"/>
        <w:rPr>
          <w:rFonts w:eastAsia="Calibri"/>
          <w:szCs w:val="24"/>
        </w:rPr>
      </w:pPr>
      <w:r>
        <w:rPr>
          <w:rFonts w:eastAsia="Calibri"/>
          <w:szCs w:val="24"/>
        </w:rPr>
        <w:t xml:space="preserve">With intellectual humility I offer the SGDAF. SGDAF is not proposed as a complete and generally sufficient theory of national development. Its contribution is conceptual. It brings together strategic direction, governance, institutional capabilities, stakeholder value and sustainability into a single logic of alignment that can be studied, operationalised and empirically validated. </w:t>
      </w:r>
    </w:p>
    <w:p w14:paraId="33D3CF23">
      <w:pPr>
        <w:spacing w:before="240"/>
        <w:jc w:val="both"/>
        <w:rPr>
          <w:rFonts w:eastAsia="Calibri"/>
          <w:szCs w:val="24"/>
        </w:rPr>
      </w:pPr>
      <w:r>
        <w:rPr>
          <w:rFonts w:eastAsia="Calibri"/>
          <w:szCs w:val="24"/>
        </w:rPr>
        <w:t xml:space="preserve">It contributes to bringing together five dimensions that are too often seen individually and puts their interaction at the heart of the development discourse. The framework develops three general propositions. </w:t>
      </w:r>
    </w:p>
    <w:p w14:paraId="5FBE43FC">
      <w:pPr>
        <w:spacing w:before="240"/>
        <w:jc w:val="both"/>
        <w:rPr>
          <w:rFonts w:eastAsia="Calibri"/>
          <w:szCs w:val="24"/>
        </w:rPr>
      </w:pPr>
      <w:r>
        <w:rPr>
          <w:rFonts w:eastAsia="Calibri"/>
          <w:szCs w:val="24"/>
        </w:rPr>
        <w:t xml:space="preserve">First, development is a problem of optimisation. National resources and policies have limited consequences due to poor linkages between strategic aims, governance structures, institutions, stakeholders and sustainability considerations. </w:t>
      </w:r>
    </w:p>
    <w:p w14:paraId="21430552">
      <w:pPr>
        <w:spacing w:before="240"/>
        <w:jc w:val="both"/>
        <w:rPr>
          <w:rFonts w:eastAsia="Calibri"/>
          <w:szCs w:val="24"/>
        </w:rPr>
      </w:pPr>
      <w:r>
        <w:rPr>
          <w:rFonts w:eastAsia="Calibri"/>
          <w:szCs w:val="24"/>
        </w:rPr>
        <w:t xml:space="preserve">Second, development is a multi-institutional process. Governments are vital, but sustainable development needs the complementing efforts of universities, businesses, communities, civil society and other institutions. </w:t>
      </w:r>
    </w:p>
    <w:p w14:paraId="232FEE69">
      <w:pPr>
        <w:spacing w:before="240"/>
        <w:jc w:val="both"/>
        <w:rPr>
          <w:rFonts w:eastAsia="Calibri"/>
          <w:szCs w:val="24"/>
        </w:rPr>
      </w:pPr>
      <w:r>
        <w:rPr>
          <w:rFonts w:eastAsia="Calibri"/>
          <w:szCs w:val="24"/>
        </w:rPr>
        <w:t xml:space="preserve">Third, development has to be characterised as sustainable value generation. That the ultimate test of strategy and governance is not only whether policies have been made or economic indicators improved, but if institutions are delivering sustainable gains in human welfare, economic opportunity, social inclusion, environmental quality and institutional resilience. </w:t>
      </w:r>
    </w:p>
    <w:p w14:paraId="00DA00E6">
      <w:pPr>
        <w:spacing w:before="240"/>
        <w:jc w:val="both"/>
        <w:rPr>
          <w:rFonts w:eastAsia="Calibri"/>
          <w:szCs w:val="24"/>
        </w:rPr>
      </w:pPr>
      <w:r>
        <w:rPr>
          <w:rFonts w:eastAsia="Calibri"/>
          <w:szCs w:val="24"/>
        </w:rPr>
        <w:t>These propositions provide the basis for further testing, refining, operationalisation and empirical examination of the SGDAF.</w:t>
      </w:r>
    </w:p>
    <w:p w14:paraId="4661275C">
      <w:pPr>
        <w:spacing w:before="240"/>
        <w:jc w:val="both"/>
        <w:rPr>
          <w:rFonts w:eastAsia="Calibri"/>
          <w:b/>
          <w:bCs/>
          <w:szCs w:val="24"/>
        </w:rPr>
      </w:pPr>
      <w:r>
        <w:rPr>
          <w:rFonts w:eastAsia="Calibri"/>
          <w:b/>
          <w:bCs/>
          <w:szCs w:val="24"/>
        </w:rPr>
        <w:t>9.10 Final Proposition of the SGDAF</w:t>
      </w:r>
    </w:p>
    <w:p w14:paraId="182FC9EB">
      <w:pPr>
        <w:spacing w:before="240"/>
        <w:jc w:val="both"/>
        <w:rPr>
          <w:rFonts w:eastAsia="Calibri"/>
          <w:szCs w:val="24"/>
        </w:rPr>
      </w:pPr>
      <w:r>
        <w:rPr>
          <w:rFonts w:eastAsia="Calibri"/>
          <w:szCs w:val="24"/>
        </w:rPr>
        <w:t>Together, the five pillars provide a logical explanation of why some development programs stand the test of time and others fail.</w:t>
      </w:r>
    </w:p>
    <w:p w14:paraId="7C6204F9">
      <w:pPr>
        <w:spacing w:before="240"/>
        <w:jc w:val="both"/>
        <w:rPr>
          <w:rFonts w:eastAsia="Calibri"/>
          <w:szCs w:val="24"/>
        </w:rPr>
      </w:pPr>
      <w:r>
        <w:rPr>
          <w:rFonts w:eastAsia="Calibri"/>
          <w:szCs w:val="24"/>
        </w:rPr>
        <w:t>a. Strategic orientation makes development purposeful.</w:t>
      </w:r>
    </w:p>
    <w:p w14:paraId="5765C508">
      <w:pPr>
        <w:spacing w:before="240"/>
        <w:jc w:val="both"/>
        <w:rPr>
          <w:rFonts w:eastAsia="Calibri"/>
          <w:szCs w:val="24"/>
        </w:rPr>
      </w:pPr>
      <w:r>
        <w:rPr>
          <w:rFonts w:eastAsia="Calibri"/>
          <w:szCs w:val="24"/>
        </w:rPr>
        <w:t>b. Responsible governance offers rules, responsibility and legitimacy.</w:t>
      </w:r>
    </w:p>
    <w:p w14:paraId="7644B86B">
      <w:pPr>
        <w:spacing w:before="240"/>
        <w:jc w:val="both"/>
        <w:rPr>
          <w:rFonts w:eastAsia="Calibri"/>
          <w:szCs w:val="24"/>
        </w:rPr>
      </w:pPr>
      <w:r>
        <w:rPr>
          <w:rFonts w:eastAsia="Calibri"/>
          <w:szCs w:val="24"/>
        </w:rPr>
        <w:t>c. Institutional capacity offers the capacity to implement.</w:t>
      </w:r>
    </w:p>
    <w:p w14:paraId="4563CC05">
      <w:pPr>
        <w:spacing w:before="240"/>
        <w:jc w:val="both"/>
        <w:rPr>
          <w:rFonts w:eastAsia="Calibri"/>
          <w:szCs w:val="24"/>
        </w:rPr>
      </w:pPr>
      <w:r>
        <w:rPr>
          <w:rFonts w:eastAsia="Calibri"/>
          <w:szCs w:val="24"/>
        </w:rPr>
        <w:t>d Stakeholder value is generated by using collective resources and capabilities.</w:t>
      </w:r>
    </w:p>
    <w:p w14:paraId="2096AC11">
      <w:pPr>
        <w:spacing w:before="240"/>
        <w:jc w:val="both"/>
        <w:rPr>
          <w:rFonts w:eastAsia="Calibri"/>
          <w:szCs w:val="24"/>
        </w:rPr>
      </w:pPr>
      <w:r>
        <w:rPr>
          <w:rFonts w:eastAsia="Calibri"/>
          <w:szCs w:val="24"/>
        </w:rPr>
        <w:t>e. Sustainability attitude maintains and perpetuates the benefits of progress for the future.</w:t>
      </w:r>
    </w:p>
    <w:p w14:paraId="4F53D042">
      <w:pPr>
        <w:spacing w:before="240"/>
        <w:jc w:val="both"/>
        <w:rPr>
          <w:rFonts w:eastAsia="Calibri"/>
          <w:szCs w:val="24"/>
        </w:rPr>
      </w:pPr>
      <w:r>
        <w:rPr>
          <w:rFonts w:eastAsia="Calibri"/>
          <w:szCs w:val="24"/>
        </w:rPr>
        <w:t xml:space="preserve">The Strategic Governance Development Alignment Framework’s key proposition is: </w:t>
      </w:r>
    </w:p>
    <w:p w14:paraId="5D6943C6">
      <w:pPr>
        <w:spacing w:before="240"/>
        <w:jc w:val="both"/>
        <w:rPr>
          <w:rFonts w:eastAsia="Calibri"/>
          <w:szCs w:val="24"/>
        </w:rPr>
      </w:pPr>
      <w:r>
        <w:rPr>
          <w:rFonts w:eastAsia="Calibri"/>
          <w:szCs w:val="24"/>
        </w:rPr>
        <w:t xml:space="preserve">Responsible governance, institutional competency, stakeholder value generation, sustainability orientation and constant reinforcement of strategic direction and deliberate alignment are more likely to bring about sustainable national growth. </w:t>
      </w:r>
    </w:p>
    <w:p w14:paraId="2A59EDEE">
      <w:pPr>
        <w:spacing w:before="240"/>
        <w:jc w:val="both"/>
        <w:rPr>
          <w:rFonts w:eastAsia="Calibri"/>
          <w:szCs w:val="24"/>
        </w:rPr>
      </w:pPr>
      <w:r>
        <w:rPr>
          <w:rFonts w:eastAsia="Calibri"/>
          <w:b/>
          <w:bCs/>
          <w:szCs w:val="24"/>
        </w:rPr>
        <w:t>10. APPLYING THE SGDAF TO NIGERIA'S DEVELOPMENT EXPERIENCE</w:t>
      </w:r>
    </w:p>
    <w:p w14:paraId="5709859F">
      <w:pPr>
        <w:spacing w:after="100" w:afterAutospacing="1"/>
        <w:jc w:val="both"/>
        <w:rPr>
          <w:rFonts w:eastAsia="Calibri"/>
          <w:szCs w:val="24"/>
        </w:rPr>
      </w:pPr>
      <w:r>
        <w:rPr>
          <w:rFonts w:eastAsia="Calibri"/>
          <w:szCs w:val="24"/>
        </w:rPr>
        <w:t xml:space="preserve">With the introduction of Strategic Governance – Development Alignment Framework (SGDAF) as an integrative framework for understanding sustainable national development, a critical question arises; is the SGDAF a theoretical construct, or can it help us to understand and explain the actual development experience of Nigeria? The framework only makes sense if it is useful. </w:t>
      </w:r>
    </w:p>
    <w:p w14:paraId="23580D83">
      <w:pPr>
        <w:spacing w:after="100" w:afterAutospacing="1"/>
        <w:jc w:val="both"/>
        <w:rPr>
          <w:rFonts w:eastAsia="Calibri"/>
          <w:szCs w:val="24"/>
        </w:rPr>
      </w:pPr>
      <w:r>
        <w:rPr>
          <w:rFonts w:eastAsia="Calibri"/>
          <w:szCs w:val="24"/>
        </w:rPr>
        <w:t xml:space="preserve">A conceptual framework is only as good as it's utility in practice. A framework should help us explain reality but also to understand why some policies and programs succeed and others fail, why some institutions work well and others don’t, and what may be done differently to produce better results. </w:t>
      </w:r>
    </w:p>
    <w:p w14:paraId="040B31E3">
      <w:pPr>
        <w:spacing w:after="100" w:afterAutospacing="1"/>
        <w:jc w:val="both"/>
        <w:rPr>
          <w:rFonts w:eastAsia="Calibri"/>
          <w:szCs w:val="24"/>
        </w:rPr>
      </w:pPr>
      <w:r>
        <w:rPr>
          <w:rFonts w:eastAsia="Calibri"/>
          <w:szCs w:val="24"/>
        </w:rPr>
        <w:t xml:space="preserve">The purpose is not to suggest that the SGDAF covers all dimensions of Nigeria's development experience, but to highlight how it could organise, diagnose,  and identify areas for improved governance and execution. </w:t>
      </w:r>
    </w:p>
    <w:p w14:paraId="3C857608">
      <w:pPr>
        <w:spacing w:after="100" w:afterAutospacing="1"/>
        <w:jc w:val="both"/>
        <w:rPr>
          <w:rFonts w:eastAsia="Calibri"/>
          <w:szCs w:val="24"/>
        </w:rPr>
      </w:pPr>
      <w:r>
        <w:rPr>
          <w:rFonts w:eastAsia="Calibri"/>
          <w:szCs w:val="24"/>
        </w:rPr>
        <w:t xml:space="preserve">So let me start with a simple observation.  </w:t>
      </w:r>
    </w:p>
    <w:p w14:paraId="670DDCF5">
      <w:pPr>
        <w:spacing w:after="100" w:afterAutospacing="1"/>
        <w:jc w:val="both"/>
        <w:rPr>
          <w:rFonts w:eastAsia="Calibri"/>
          <w:szCs w:val="24"/>
        </w:rPr>
      </w:pPr>
      <w:r>
        <w:rPr>
          <w:rFonts w:eastAsia="Calibri"/>
          <w:szCs w:val="24"/>
        </w:rPr>
        <w:t xml:space="preserve">Nigeria has no shortage of ideas. We’ve got a lot of folks that are talented. Our desire is not quite short. What we have sometimes missed is the strategic integration of these resources under a coherent, comprehensive and enduring national purpose. There are various points in our national life where we have seen what Nigeria can achieve when vision, good governance, strong institutions, stakeholder involvement and sustainability reinforce each other. And we’ve also seen what that looks like when those pieces are acting in isolation or are working against each other. The SGDAF provides a valuable framework for examining both experiences. </w:t>
      </w:r>
    </w:p>
    <w:p w14:paraId="19E28ADB">
      <w:pPr>
        <w:pStyle w:val="3"/>
        <w:jc w:val="both"/>
        <w:rPr>
          <w:rFonts w:ascii="Times New Roman" w:hAnsi="Times New Roman" w:eastAsia="Times New Roman" w:cs="Times New Roman"/>
          <w:b/>
          <w:bCs/>
          <w:color w:val="auto"/>
          <w:sz w:val="24"/>
          <w:szCs w:val="24"/>
        </w:rPr>
      </w:pPr>
      <w:r>
        <w:rPr>
          <w:rFonts w:ascii="Times New Roman" w:hAnsi="Times New Roman" w:cs="Times New Roman"/>
          <w:b/>
          <w:bCs/>
          <w:color w:val="auto"/>
          <w:sz w:val="24"/>
          <w:szCs w:val="24"/>
        </w:rPr>
        <w:t xml:space="preserve">10.1 Strategic Direction: The Importance of a Shared National Vision </w:t>
      </w:r>
    </w:p>
    <w:p w14:paraId="22F5C3F5">
      <w:pPr>
        <w:spacing w:after="100" w:afterAutospacing="1"/>
        <w:jc w:val="both"/>
        <w:rPr>
          <w:rFonts w:eastAsia="Calibri"/>
          <w:szCs w:val="24"/>
        </w:rPr>
      </w:pPr>
      <w:r>
        <w:rPr>
          <w:rFonts w:eastAsia="Calibri"/>
          <w:szCs w:val="24"/>
        </w:rPr>
        <w:t xml:space="preserve">The first of the five pillars of the SGDAF is strategic direction. </w:t>
      </w:r>
    </w:p>
    <w:p w14:paraId="496B6405">
      <w:pPr>
        <w:spacing w:after="100" w:afterAutospacing="1"/>
        <w:jc w:val="both"/>
        <w:rPr>
          <w:rFonts w:eastAsia="Calibri"/>
          <w:szCs w:val="24"/>
        </w:rPr>
      </w:pPr>
      <w:r>
        <w:rPr>
          <w:rFonts w:eastAsia="Calibri"/>
          <w:szCs w:val="24"/>
        </w:rPr>
        <w:t xml:space="preserve">Sustained national development need a clear vision for the country and a steadfast commitment to realise it. Nations, like organisations, can't progress forward if they continually changing course. Development is a process. Policy should be consistent. Institutions need continuity. The returns on investment in infrastructure and human capital are often years in the making. However, Nigeria’s recurrent issues include policy and program discontinuities especially in the times of political regimes shift. Development plans and programs are sometimes launched with much enthusiasm, but are then changed, delayed or abandoned before they have had an opportunity to meet their intended objectives. Development is therefore no longer a national purpose, but a series of ventures. That’s a real problem of strategy.” </w:t>
      </w:r>
    </w:p>
    <w:p w14:paraId="37E901BD">
      <w:pPr>
        <w:spacing w:after="100" w:afterAutospacing="1"/>
        <w:jc w:val="both"/>
        <w:rPr>
          <w:rFonts w:eastAsia="Calibri"/>
          <w:szCs w:val="24"/>
        </w:rPr>
      </w:pPr>
      <w:r>
        <w:rPr>
          <w:rFonts w:eastAsia="Calibri"/>
          <w:szCs w:val="24"/>
        </w:rPr>
        <w:t xml:space="preserve">A nation is more developed when all administrations understand that national development is beyond one government. What needs to be improved? strive what doesn’t work, and then strive to improve it. Where necessary, policies should be changed, but the basic national aims should be stable enough to provide continuity. Leaders need to look beyond the election cycle for strategic direction. Some of the investments that governments make may not provide political dividends immediately. The investment in education, research, infrastructure, institutional reform, public health, environmental preservation and human capital might sometimes take years before it yields benefits. The lesson is simple: national growth should be treated as a long-term strategic enterprise and not a series of short-term political schemes. There has to be a stronger culture of national continuity in Nigeria: succeeding governments building on what works, not starting anew. </w:t>
      </w:r>
    </w:p>
    <w:p w14:paraId="00F4750C">
      <w:pPr>
        <w:spacing w:after="100" w:afterAutospacing="1"/>
        <w:jc w:val="both"/>
        <w:rPr>
          <w:rFonts w:eastAsia="Calibri"/>
          <w:b/>
          <w:bCs/>
          <w:szCs w:val="24"/>
        </w:rPr>
      </w:pPr>
      <w:r>
        <w:rPr>
          <w:rFonts w:eastAsia="Calibri"/>
          <w:b/>
          <w:bCs/>
          <w:szCs w:val="24"/>
        </w:rPr>
        <w:t xml:space="preserve">10.2 Accountable Governance: From policy to impact </w:t>
      </w:r>
    </w:p>
    <w:p w14:paraId="3D3B087A">
      <w:pPr>
        <w:spacing w:after="100" w:afterAutospacing="1"/>
        <w:jc w:val="both"/>
        <w:rPr>
          <w:rFonts w:eastAsia="Calibri"/>
          <w:szCs w:val="24"/>
        </w:rPr>
      </w:pPr>
      <w:r>
        <w:rPr>
          <w:rFonts w:eastAsia="Calibri"/>
          <w:szCs w:val="24"/>
        </w:rPr>
        <w:t>The second pillar of the SGDAF is responsible governance</w:t>
      </w:r>
    </w:p>
    <w:p w14:paraId="1CC1163A">
      <w:pPr>
        <w:spacing w:after="100" w:afterAutospacing="1"/>
        <w:jc w:val="both"/>
        <w:rPr>
          <w:rFonts w:eastAsia="Calibri"/>
          <w:szCs w:val="24"/>
        </w:rPr>
      </w:pPr>
      <w:r>
        <w:rPr>
          <w:rFonts w:eastAsia="Calibri"/>
          <w:szCs w:val="24"/>
        </w:rPr>
        <w:t xml:space="preserve">Responsible governance is actually a fundamental question: can government policies and choices provide substantial benefits to citizens? Good intentions don’t cut it. At the end, results are growth. A notable illustration of this technique is the telecommunications sector in Nigeria. In the past, it took years to establish a telephone line in Nigeria, and access to telecommunications services was limited and relatively expensive. The sector’s subsequent transformation shows what is possible when government creates the right policy and regulatory environment for private investment, competition and innovation. The government provided circumstances for the telecommunications providers to invest, compete, extend coverage and develop new services through liberalisation, regulatory reforms, licensing arrangements and opening the industry to wider private participation. This has led to a radical change in how we interact and connect digitally. Today telecommunication is a significant platform for activities such as digital banking, e-commerce, financial technology, online education, technology entrepreneurship, digital marketing and many other economic and social activities. </w:t>
      </w:r>
    </w:p>
    <w:p w14:paraId="367E6F36">
      <w:pPr>
        <w:spacing w:after="100" w:afterAutospacing="1"/>
        <w:jc w:val="both"/>
        <w:rPr>
          <w:rFonts w:eastAsia="Calibri"/>
          <w:szCs w:val="24"/>
        </w:rPr>
      </w:pPr>
      <w:r>
        <w:rPr>
          <w:rFonts w:eastAsia="Calibri"/>
          <w:szCs w:val="24"/>
        </w:rPr>
        <w:t xml:space="preserve">The biggest thing to learned from this experience is. The government didn’t have to do all the telecommunications services itself. Its more significant job was to establish the rules, institutions and conditions under which other companies may invest, compete, innovate and create value. This shows a key part of responsible government. A good government is not a government that does everything. Instead, government knows what it needs to do and fulfils these functions efficiently and provides enabling environment within which individuals, corporations, universities, civil society groups and other institutions can contribute to national growth. It is in areas where private initiative may operate successfully, and where the government should not be stepping in to replace the private sector unnecessarily. But government should not shirk its obligations either. It has to set the correct regulations, uphold standards, protect the public interest, deliver the public goods that need to be delivered and make sure that competition and innovation operate within a credible institutional framework. Therefore, good governance is supposed to find a balance between government leadership and social engagement. It is providing the circumstances for the development of the national potential into the national wealth. </w:t>
      </w:r>
    </w:p>
    <w:p w14:paraId="2B7D30AD">
      <w:pPr>
        <w:spacing w:after="100" w:afterAutospacing="1"/>
        <w:jc w:val="both"/>
        <w:rPr>
          <w:rFonts w:eastAsia="Calibri"/>
          <w:b/>
          <w:bCs/>
          <w:szCs w:val="24"/>
        </w:rPr>
      </w:pPr>
      <w:r>
        <w:rPr>
          <w:rFonts w:eastAsia="Calibri"/>
          <w:b/>
          <w:bCs/>
          <w:szCs w:val="24"/>
        </w:rPr>
        <w:t xml:space="preserve">10.3 Institutional Capacity: Why Strong Institutions Matter </w:t>
      </w:r>
    </w:p>
    <w:p w14:paraId="7CC13050">
      <w:pPr>
        <w:spacing w:after="100" w:afterAutospacing="1"/>
        <w:jc w:val="both"/>
        <w:rPr>
          <w:rFonts w:eastAsia="Calibri"/>
          <w:szCs w:val="24"/>
        </w:rPr>
      </w:pPr>
      <w:r>
        <w:rPr>
          <w:rFonts w:eastAsia="Calibri"/>
          <w:szCs w:val="24"/>
        </w:rPr>
        <w:t>The third pillar of the SGDAF is institutional competency</w:t>
      </w:r>
    </w:p>
    <w:p w14:paraId="1A677A9B">
      <w:pPr>
        <w:spacing w:after="100" w:afterAutospacing="1"/>
        <w:jc w:val="both"/>
        <w:rPr>
          <w:rFonts w:eastAsia="Calibri"/>
          <w:szCs w:val="24"/>
        </w:rPr>
      </w:pPr>
      <w:r>
        <w:rPr>
          <w:rFonts w:eastAsia="Calibri"/>
          <w:szCs w:val="24"/>
        </w:rPr>
        <w:t xml:space="preserve">One of the most vital truths of development is that policies do not execute themselves. Institutions have rules. Even a good policy might fail if the institutions that should implement it lack the capacity, resources, professional competence, autonomy, responsibility or continuity to achieve results. A useful illustration is the Nigerian university system. The initiatives of the Tertiary Education Trust Fund (TETFund) over the years have tremendously contributed to the growth of infrastructure, research, academic staff development, postgraduate education and other areas of institutional building in the Nigerian Universities. These interventions have resulted in the construction and rehabilitation of facilities, development of laboratories, research activities, staff development programs, post graduate training, academic conferences and other initiatives that have enhanced the capacity of universities to perform their core functions. </w:t>
      </w:r>
    </w:p>
    <w:p w14:paraId="0ED7446F">
      <w:pPr>
        <w:spacing w:after="100" w:afterAutospacing="1"/>
        <w:jc w:val="both"/>
        <w:rPr>
          <w:rFonts w:eastAsia="Calibri"/>
          <w:szCs w:val="24"/>
        </w:rPr>
      </w:pPr>
      <w:r>
        <w:rPr>
          <w:rFonts w:eastAsia="Calibri"/>
          <w:szCs w:val="24"/>
        </w:rPr>
        <w:t xml:space="preserve">But it also reveals what happens with weak or inconsistent institutional assistance, as our universities' experience shows. Institutions continue to face issues of ageing infrastructure, poor research facilities, limited financing, weak research ecosystems, industry disruptions and challenges in attracting and maintaining highly trained academics and the exodus of competent professionals to possibilities outside the country. These issues are not only for universities. They define Nigeria’s knowledge production capacity and its ability to develop skilled human resources that are capable of addressing complex national problems and of innovating and competing effectively in an increasingly knowledge-based global economy. That is why I see universities as strategic national institutions and not just degree-granting entities. A university is a place where knowledge is produced. It produces human capital, generates research, promotes innovation, protects knowledge, drives public policy and contributes to changing society. All of the countries that have successfully accomplished persistent economic transformation have placed tremendous emphasis to knowledge, research, innovation and human-capital development. If Nigeria really wants its universities to contribute solutions to national problems, then the universities must possess the institutional capacity to take on such a role. Knowledge does not flourish in institutions that are permitted to grow weak. </w:t>
      </w:r>
    </w:p>
    <w:p w14:paraId="73690BAC">
      <w:pPr>
        <w:spacing w:after="100" w:afterAutospacing="1"/>
        <w:jc w:val="both"/>
        <w:rPr>
          <w:rFonts w:eastAsia="Calibri"/>
          <w:szCs w:val="24"/>
        </w:rPr>
      </w:pPr>
      <w:r>
        <w:rPr>
          <w:rFonts w:eastAsia="Calibri"/>
          <w:szCs w:val="24"/>
        </w:rPr>
        <w:t xml:space="preserve">The SGDAF emphasises that national development requires institutions that are not only legally formed but also sufficiently capable, credible, adequately resourced, professionally managed and accountable for their assigned responsibilities. </w:t>
      </w:r>
    </w:p>
    <w:p w14:paraId="1FF1ABEA">
      <w:pPr>
        <w:pStyle w:val="3"/>
        <w:jc w:val="both"/>
        <w:rPr>
          <w:rFonts w:ascii="Times New Roman" w:hAnsi="Times New Roman" w:eastAsia="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 xml:space="preserve">10.4 Stakeholder Value Creation: Development Is a Shared Responsibility </w:t>
      </w:r>
    </w:p>
    <w:p w14:paraId="155CEF2D">
      <w:pPr>
        <w:spacing w:after="100" w:afterAutospacing="1"/>
        <w:jc w:val="both"/>
        <w:rPr>
          <w:rFonts w:eastAsia="Calibri"/>
          <w:szCs w:val="24"/>
        </w:rPr>
      </w:pPr>
      <w:r>
        <w:rPr>
          <w:rFonts w:eastAsia="Calibri"/>
          <w:szCs w:val="24"/>
        </w:rPr>
        <w:t xml:space="preserve">The fourth pillar of the SGDAF is value creation for stakeholders. </w:t>
      </w:r>
    </w:p>
    <w:p w14:paraId="2950498C">
      <w:pPr>
        <w:spacing w:after="100" w:afterAutospacing="1"/>
        <w:jc w:val="both"/>
        <w:rPr>
          <w:rFonts w:eastAsia="Calibri"/>
          <w:szCs w:val="24"/>
        </w:rPr>
      </w:pPr>
      <w:r>
        <w:rPr>
          <w:rFonts w:eastAsia="Calibri"/>
          <w:szCs w:val="24"/>
        </w:rPr>
        <w:t xml:space="preserve">This pillar speaks directly to a critical lesson from Nigeria’s development experience: sustainable development cannot be imposed on people; it must be with people. Those affected by development are more likely to succeed if they have the opportunity to participate in the design, execution, monitoring and assessment of the development. A good example from our own experience is public health. Community leaders, traditional institutions, religious organisations, women’s groups, youth organisations, volunteers and other local actors have played an important role in educating communities, encouraging participation, dispelling misconceptions, supporting health campaigns and improving disease surveillance during immunisation campaigns and other public health interventions. They are essential as progress cannot happen in the government offices alone. Communities are where development happens. The same is true for infrastructure and other community-driven development projects. There is more likelihood of a sense of ownership if local people are involved in needs assessment, developing interventions, implementing projects and monitoring outcomes. Such ownership can therefore raise the possibility that the resulting facilities or programs will be maintained and sustained. </w:t>
      </w:r>
    </w:p>
    <w:p w14:paraId="08223C2E">
      <w:pPr>
        <w:spacing w:after="100" w:afterAutospacing="1"/>
        <w:jc w:val="both"/>
        <w:rPr>
          <w:rFonts w:eastAsia="Calibri"/>
          <w:szCs w:val="24"/>
        </w:rPr>
      </w:pPr>
      <w:r>
        <w:rPr>
          <w:rFonts w:eastAsia="Calibri"/>
          <w:szCs w:val="24"/>
        </w:rPr>
        <w:t xml:space="preserve">This is a practical rule: People are more willing to safeguard what they have helped develop. If a community is viewed merely as a recipient, it may become passive. Development is more likely to be accompanied by active community participation when it is regarded as a partner. Thus, for stakeholder value creation to occur, the government, corporations, universities, civil society organisations, communities, professional bodies, development partners and other key actors must recognise that national development is a joint duty. The resources, expertise, competencies and interests of each stakeholder may transform the nation. The difficulty is to align these different competencies around clear national priorities. </w:t>
      </w:r>
    </w:p>
    <w:p w14:paraId="246B6CA8">
      <w:pPr>
        <w:spacing w:after="100" w:afterAutospacing="1"/>
        <w:jc w:val="both"/>
        <w:rPr>
          <w:rFonts w:eastAsia="Calibri"/>
          <w:szCs w:val="24"/>
        </w:rPr>
      </w:pPr>
      <w:r>
        <w:rPr>
          <w:rFonts w:eastAsia="Calibri"/>
          <w:szCs w:val="24"/>
        </w:rPr>
        <w:t xml:space="preserve">Here, the idea of alignment of the SGDAF is of great importance. Having a government development plan is not enough if corporations are working to different aims, universities are not aligned with national interests, communities are not involved in the decision-making, and civil society organisations are functioning without good coordination. When people are aligned, not merely busy, development is more potent. </w:t>
      </w:r>
    </w:p>
    <w:p w14:paraId="4834287F">
      <w:pPr>
        <w:spacing w:after="100" w:afterAutospacing="1"/>
        <w:jc w:val="both"/>
        <w:rPr>
          <w:rFonts w:eastAsia="Calibri"/>
          <w:b/>
          <w:bCs/>
          <w:szCs w:val="24"/>
        </w:rPr>
      </w:pPr>
      <w:r>
        <w:rPr>
          <w:rFonts w:eastAsia="Calibri"/>
          <w:b/>
          <w:bCs/>
          <w:szCs w:val="24"/>
        </w:rPr>
        <w:t xml:space="preserve">10.5 Sustainability Orientation: Thinking Beyond Today </w:t>
      </w:r>
    </w:p>
    <w:p w14:paraId="14026436">
      <w:pPr>
        <w:spacing w:after="100" w:afterAutospacing="1"/>
        <w:jc w:val="both"/>
        <w:rPr>
          <w:rFonts w:eastAsia="Calibri"/>
          <w:szCs w:val="24"/>
        </w:rPr>
      </w:pPr>
      <w:r>
        <w:rPr>
          <w:rFonts w:eastAsia="Calibri"/>
          <w:szCs w:val="24"/>
        </w:rPr>
        <w:t xml:space="preserve">The fifth pillar of the SGDAF is sustainability orientated. </w:t>
      </w:r>
    </w:p>
    <w:p w14:paraId="3ACB1773">
      <w:pPr>
        <w:spacing w:after="100" w:afterAutospacing="1"/>
        <w:jc w:val="both"/>
        <w:rPr>
          <w:rFonts w:eastAsia="Calibri"/>
          <w:szCs w:val="24"/>
        </w:rPr>
      </w:pPr>
      <w:r>
        <w:rPr>
          <w:rFonts w:eastAsia="Calibri"/>
          <w:szCs w:val="24"/>
        </w:rPr>
        <w:t>This pillar asks us to look beyond the immediate outputs of development interventions and to assess if the gains are sustainable. A common problem in development practice is that projects are lauded upon completion or commissioning, with little attention being devoted to what happens next.</w:t>
      </w:r>
    </w:p>
    <w:p w14:paraId="1C4F7A96">
      <w:pPr>
        <w:spacing w:after="100" w:afterAutospacing="1"/>
        <w:jc w:val="both"/>
        <w:rPr>
          <w:rFonts w:eastAsia="Calibri"/>
          <w:szCs w:val="24"/>
        </w:rPr>
      </w:pPr>
      <w:r>
        <w:rPr>
          <w:rFonts w:eastAsia="Calibri"/>
          <w:szCs w:val="24"/>
        </w:rPr>
        <w:t>a. A road may be built, but who will maintain it?</w:t>
      </w:r>
    </w:p>
    <w:p w14:paraId="301E7DDF">
      <w:pPr>
        <w:spacing w:after="100" w:afterAutospacing="1"/>
        <w:jc w:val="both"/>
        <w:rPr>
          <w:rFonts w:eastAsia="Calibri"/>
          <w:szCs w:val="24"/>
        </w:rPr>
      </w:pPr>
      <w:r>
        <w:rPr>
          <w:rFonts w:eastAsia="Calibri"/>
          <w:szCs w:val="24"/>
        </w:rPr>
        <w:t>b. A public building can be commissioned, but will there be resources to maintain it running?</w:t>
      </w:r>
    </w:p>
    <w:p w14:paraId="1CCFA264">
      <w:pPr>
        <w:spacing w:after="100" w:afterAutospacing="1"/>
        <w:jc w:val="both"/>
        <w:rPr>
          <w:rFonts w:eastAsia="Calibri"/>
          <w:szCs w:val="24"/>
        </w:rPr>
      </w:pPr>
      <w:r>
        <w:rPr>
          <w:rFonts w:eastAsia="Calibri"/>
          <w:szCs w:val="24"/>
        </w:rPr>
        <w:t>c. Equipment can be bought, but will there be personnel to run the equipment?</w:t>
      </w:r>
    </w:p>
    <w:p w14:paraId="649589A7">
      <w:pPr>
        <w:spacing w:after="100" w:afterAutospacing="1"/>
        <w:jc w:val="both"/>
        <w:rPr>
          <w:rFonts w:eastAsia="Calibri"/>
          <w:szCs w:val="24"/>
        </w:rPr>
      </w:pPr>
      <w:r>
        <w:rPr>
          <w:rFonts w:eastAsia="Calibri"/>
          <w:szCs w:val="24"/>
        </w:rPr>
        <w:t>d. Is there a resource available to replace the equipment when it is obsolete?</w:t>
      </w:r>
    </w:p>
    <w:p w14:paraId="57CEB5C4">
      <w:pPr>
        <w:spacing w:after="100" w:afterAutospacing="1"/>
        <w:jc w:val="both"/>
        <w:rPr>
          <w:rFonts w:eastAsia="Calibri"/>
          <w:szCs w:val="24"/>
        </w:rPr>
      </w:pPr>
      <w:r>
        <w:rPr>
          <w:rFonts w:eastAsia="Calibri"/>
          <w:szCs w:val="24"/>
        </w:rPr>
        <w:t>A program might get off to a good start. But what institutional mechanisms will ensure that it will continue when its initial sponsors, or political supporters, have gone from office?</w:t>
      </w:r>
    </w:p>
    <w:p w14:paraId="302001D6">
      <w:pPr>
        <w:spacing w:after="100" w:afterAutospacing="1"/>
        <w:jc w:val="both"/>
        <w:rPr>
          <w:rFonts w:eastAsia="Calibri"/>
          <w:szCs w:val="24"/>
        </w:rPr>
      </w:pPr>
      <w:r>
        <w:rPr>
          <w:rFonts w:eastAsia="Calibri"/>
          <w:szCs w:val="24"/>
        </w:rPr>
        <w:t>These are not marginal concerns. They are central questions of development. In Nigeria, there have been cases of roads becoming impassable because maintenance arrangements were not put in place, public facilities becoming unusable because recurrent funding was inadequate, equipment becoming obsolete because replacement arrangements were not made and promising programs losing momentum because institutional continuity was not adequately provided. This indicates a big gap between project completion and sustainable development.</w:t>
      </w:r>
    </w:p>
    <w:p w14:paraId="56F33C38">
      <w:pPr>
        <w:spacing w:after="100" w:afterAutospacing="1"/>
        <w:jc w:val="both"/>
        <w:rPr>
          <w:rFonts w:eastAsia="Calibri"/>
          <w:szCs w:val="24"/>
        </w:rPr>
      </w:pPr>
      <w:r>
        <w:rPr>
          <w:rFonts w:eastAsia="Calibri"/>
          <w:szCs w:val="24"/>
        </w:rPr>
        <w:t>Output signify Project completed, while Sustainable development is a lasting outcome. Sustainability, therefore, is much more than physical infrastructure. It means investing in people. It means building institutions. That means offering maintenance systems. This is to protect the environment. That implies having good finance arrangements in place. This means learning skills and knowledge. More importantly, it means building systems that continue to perform after the founders are no longer there. Thus, we should not only assess advancement by what we achieve today, but also by what we leave behind.</w:t>
      </w:r>
    </w:p>
    <w:p w14:paraId="4C5A0324">
      <w:pPr>
        <w:spacing w:after="100" w:afterAutospacing="1"/>
        <w:jc w:val="both"/>
        <w:rPr>
          <w:rFonts w:eastAsia="Calibri"/>
          <w:szCs w:val="24"/>
        </w:rPr>
      </w:pPr>
      <w:r>
        <w:rPr>
          <w:rFonts w:eastAsia="Calibri"/>
          <w:szCs w:val="24"/>
        </w:rPr>
        <w:t>We, as a nation, should not only ask:</w:t>
      </w:r>
    </w:p>
    <w:p w14:paraId="34374AE7">
      <w:pPr>
        <w:spacing w:after="100" w:afterAutospacing="1"/>
        <w:jc w:val="both"/>
        <w:rPr>
          <w:rFonts w:eastAsia="Calibri"/>
          <w:szCs w:val="24"/>
        </w:rPr>
      </w:pPr>
      <w:r>
        <w:rPr>
          <w:rFonts w:eastAsia="Calibri"/>
          <w:szCs w:val="24"/>
        </w:rPr>
        <w:t>Today, we are building what?</w:t>
      </w:r>
    </w:p>
    <w:p w14:paraId="48415D0E">
      <w:pPr>
        <w:spacing w:after="100" w:afterAutospacing="1"/>
        <w:jc w:val="both"/>
        <w:rPr>
          <w:rFonts w:eastAsia="Calibri"/>
          <w:szCs w:val="24"/>
        </w:rPr>
      </w:pPr>
      <w:r>
        <w:rPr>
          <w:rFonts w:eastAsia="Calibri"/>
          <w:szCs w:val="24"/>
        </w:rPr>
        <w:t>We should also ask:</w:t>
      </w:r>
    </w:p>
    <w:p w14:paraId="0E9BB376">
      <w:pPr>
        <w:spacing w:after="100" w:afterAutospacing="1"/>
        <w:jc w:val="both"/>
        <w:rPr>
          <w:rFonts w:eastAsia="Calibri"/>
          <w:szCs w:val="24"/>
        </w:rPr>
      </w:pPr>
      <w:r>
        <w:rPr>
          <w:rFonts w:eastAsia="Calibri"/>
          <w:szCs w:val="24"/>
        </w:rPr>
        <w:t>What will still be good for our children and grandchildren tomorrow?</w:t>
      </w:r>
    </w:p>
    <w:p w14:paraId="06407363">
      <w:pPr>
        <w:spacing w:after="100" w:afterAutospacing="1"/>
        <w:jc w:val="both"/>
        <w:rPr>
          <w:rFonts w:eastAsia="Times New Roman"/>
          <w:szCs w:val="24"/>
        </w:rPr>
      </w:pPr>
      <w:r>
        <w:rPr>
          <w:rFonts w:eastAsia="Calibri"/>
          <w:szCs w:val="24"/>
        </w:rPr>
        <w:t>That, to me, is the harder challenge of development. It pushes us from celebrating short term accomplishments, to a more sober reflection on long term national worth.</w:t>
      </w:r>
    </w:p>
    <w:p w14:paraId="7197554F">
      <w:pPr>
        <w:spacing w:before="240"/>
        <w:jc w:val="both"/>
        <w:rPr>
          <w:rFonts w:eastAsia="Calibri"/>
          <w:szCs w:val="24"/>
        </w:rPr>
      </w:pPr>
      <w:r>
        <w:rPr>
          <w:rFonts w:eastAsia="Calibri"/>
          <w:b/>
          <w:bCs/>
          <w:szCs w:val="24"/>
        </w:rPr>
        <w:t>11. FROM INSIGHT TO ACTION: AN IMPLEMENTATION ARCHITECTURE FOR NATIONAL TRANSFORMATION</w:t>
      </w:r>
    </w:p>
    <w:p w14:paraId="55B0A851">
      <w:pPr>
        <w:spacing w:after="100" w:afterAutospacing="1"/>
        <w:jc w:val="both"/>
        <w:rPr>
          <w:rFonts w:eastAsia="Calibri"/>
          <w:szCs w:val="24"/>
        </w:rPr>
      </w:pPr>
      <w:r>
        <w:rPr>
          <w:rFonts w:eastAsia="Calibri"/>
          <w:szCs w:val="24"/>
        </w:rPr>
        <w:t xml:space="preserve">Diagnosis is not enough. We need to move from insight to action. The Strategic Governance – Development Alignment Framework (SGDAF) has taught us a lot from Nigeria’s development experience. A more pragmatic issue now is: What do we do differently? </w:t>
      </w:r>
    </w:p>
    <w:p w14:paraId="75360590">
      <w:pPr>
        <w:spacing w:after="100" w:afterAutospacing="1"/>
        <w:jc w:val="both"/>
        <w:rPr>
          <w:rFonts w:eastAsia="Calibri"/>
          <w:szCs w:val="24"/>
        </w:rPr>
      </w:pPr>
      <w:r>
        <w:rPr>
          <w:rFonts w:eastAsia="Calibri"/>
          <w:szCs w:val="24"/>
        </w:rPr>
        <w:t xml:space="preserve">For me, this is where scholarships need to go beyond diagnosis. Research should allow us to comprehend the challenges of society and also give a framework for thinking about how those problems may be tackled. The SGDAF is valuable not just for the explanation it provides of the link between governance and development, but also for the guidance it offers for action. </w:t>
      </w:r>
    </w:p>
    <w:p w14:paraId="348052DC">
      <w:pPr>
        <w:spacing w:after="100" w:afterAutospacing="1"/>
        <w:jc w:val="both"/>
        <w:rPr>
          <w:rFonts w:eastAsia="Calibri"/>
          <w:szCs w:val="24"/>
        </w:rPr>
      </w:pPr>
      <w:r>
        <w:rPr>
          <w:rFonts w:eastAsia="Calibri"/>
          <w:szCs w:val="24"/>
        </w:rPr>
        <w:t xml:space="preserve">The recommendations below are a direct result from the five dimensions of the SGDAF. These are provided as implementation architecture, with each proposal stating a governance priority, the institutional mechanism for taking this forward and the type of outcome against which success should be judged. </w:t>
      </w:r>
    </w:p>
    <w:p w14:paraId="39F78AFA">
      <w:pPr>
        <w:spacing w:after="100" w:afterAutospacing="1"/>
        <w:jc w:val="both"/>
        <w:rPr>
          <w:rFonts w:eastAsia="Calibri"/>
          <w:szCs w:val="24"/>
        </w:rPr>
      </w:pPr>
      <w:r>
        <w:rPr>
          <w:rFonts w:eastAsia="Calibri"/>
          <w:szCs w:val="24"/>
        </w:rPr>
        <w:t xml:space="preserve">These recommendations together comprise what I call an architecture for strategic national transformation. </w:t>
      </w:r>
    </w:p>
    <w:p w14:paraId="689B767B">
      <w:pPr>
        <w:spacing w:after="100" w:afterAutospacing="1"/>
        <w:jc w:val="both"/>
        <w:rPr>
          <w:rFonts w:eastAsia="Calibri"/>
          <w:szCs w:val="24"/>
        </w:rPr>
      </w:pPr>
      <w:r>
        <w:rPr>
          <w:rFonts w:eastAsia="Calibri"/>
          <w:szCs w:val="24"/>
        </w:rPr>
        <w:t xml:space="preserve">First suggestion: Institutionalise strategic governance for public institutions </w:t>
      </w:r>
    </w:p>
    <w:p w14:paraId="2F1D2879">
      <w:pPr>
        <w:spacing w:after="100" w:afterAutospacing="1"/>
        <w:jc w:val="both"/>
        <w:rPr>
          <w:rFonts w:eastAsia="Calibri"/>
          <w:szCs w:val="24"/>
        </w:rPr>
      </w:pPr>
      <w:r>
        <w:rPr>
          <w:rFonts w:eastAsia="Calibri"/>
          <w:szCs w:val="24"/>
        </w:rPr>
        <w:t xml:space="preserve">My first piece of recommendation is simple and probably the most fundamental: strategic governance must be incorporated in the core of the functioning of our public institutions. Our ministries, departments, companies, colleges and other public institutions are still too much preoccupied with ordinary management - attend meetings, took notes, sort papers, drew up budgets, report on activity. But too frequently we struggle to answer the most basic question: what difference have these efforts made? We have to go from a culture that overvalues activities, procedures and compliance to one that values results, impact, institutional learning and long-term performance more. It is planned that each public organization will have a defined strategic direction, backed by measurable objectives, realistic performance indicators, regular monitoring, transparent reporting and periodic evaluation. Strategic planning is not a document to be prepared because you need a five-year plan. It should be viewed as an ongoing management process whereby institutions establish priorities, allocate funds, track performance, learn from experience and adjust plans as circumstances change. </w:t>
      </w:r>
    </w:p>
    <w:p w14:paraId="0CA670FE">
      <w:pPr>
        <w:spacing w:after="100" w:afterAutospacing="1"/>
        <w:jc w:val="both"/>
        <w:rPr>
          <w:rFonts w:eastAsia="Calibri"/>
          <w:szCs w:val="24"/>
        </w:rPr>
      </w:pPr>
      <w:r>
        <w:rPr>
          <w:rFonts w:eastAsia="Calibri"/>
          <w:szCs w:val="24"/>
        </w:rPr>
        <w:t xml:space="preserve">This is very essential in the Nigerian context because with changes in political and administrative leadership occasionally there are changes in priorities, programs and policies. If institutions are mostly a function of individual preferences, continuity is hard to sustain. But if the institutions are based on well-articulated and long-term goals, leadership changes need not signal the halt of development activities. We need to develop institutions that are stronger than the persons that occupy positions of leadership for a time. Strong institutions, not strong personalities, are more reliable for lasting development. Strategic governance should therefore be part of the culture of the Nigerian public sector and not practised irregularly when mandated by government directives or donor financed programs. </w:t>
      </w:r>
    </w:p>
    <w:p w14:paraId="68497B3D">
      <w:pPr>
        <w:spacing w:after="100" w:afterAutospacing="1"/>
        <w:jc w:val="both"/>
        <w:rPr>
          <w:rFonts w:eastAsia="Calibri"/>
          <w:szCs w:val="24"/>
        </w:rPr>
      </w:pPr>
      <w:r>
        <w:rPr>
          <w:rFonts w:eastAsia="Calibri"/>
          <w:szCs w:val="24"/>
        </w:rPr>
        <w:t xml:space="preserve">My second piece of recommendation is on accountability and ethical leadership. If the people do not have a lot of confidence in the government institutions, then there is little chance of sustainable progress. People are more likely to back government programs and development efforts when they think public money is being used wisely, choices are made openly, and public officials are willing to be held accountable for what they do. Ethical leadership cannot be just the ethics of the individual. This is a vital part of good governance and progress of the nation. Public office is a matter of public confidence; their strength is the strength of the people who are in these positions to control public resources in the good of the community. This requires better accountability frameworks, more transparent reporting structures, effective legislative and institutional monitoring, clear procurement procedures, reliable auditing systems and appropriate sanctions for the misuse of public assets. But responsibility should not be seen exclusively as a punishment after a failure. It can’t only be about building tools for increasing the likelihood that individuals will act in a responsible way in the first instance. </w:t>
      </w:r>
    </w:p>
    <w:p w14:paraId="6609D17D">
      <w:pPr>
        <w:spacing w:after="100" w:afterAutospacing="1"/>
        <w:jc w:val="both"/>
        <w:rPr>
          <w:rFonts w:eastAsia="Calibri"/>
          <w:szCs w:val="24"/>
        </w:rPr>
      </w:pPr>
      <w:r>
        <w:rPr>
          <w:rFonts w:eastAsia="Calibri"/>
          <w:szCs w:val="24"/>
        </w:rPr>
        <w:t xml:space="preserve">In this regard technology has got great opportunities to provide. Digital public services, open budgeting, electronic procurement, accessible government data and digital documentation and performance-monitoring systems can allow transparency and scrutiny of public administration. So technology should not replace integrity. Digital technologies can be a boost to transparency but they need integrity among individuals, reliable institutions, effective monitoring and political will to harness the information generated. </w:t>
      </w:r>
    </w:p>
    <w:p w14:paraId="21B68BB1">
      <w:pPr>
        <w:spacing w:after="100" w:afterAutospacing="1"/>
        <w:jc w:val="both"/>
        <w:rPr>
          <w:rFonts w:eastAsia="Calibri"/>
          <w:szCs w:val="24"/>
        </w:rPr>
      </w:pPr>
      <w:r>
        <w:rPr>
          <w:rFonts w:eastAsia="Calibri"/>
          <w:szCs w:val="24"/>
        </w:rPr>
        <w:t xml:space="preserve">The premise is a simple one: good governance is not an add-on to success; it is a core condition. Leadership that does not view accountability as a challenge to authority is what Nigeria needs. Accountability is the tool of the other, to augment rightful power. </w:t>
      </w:r>
    </w:p>
    <w:p w14:paraId="7319D2A0">
      <w:pPr>
        <w:spacing w:after="100" w:afterAutospacing="1"/>
        <w:jc w:val="both"/>
        <w:rPr>
          <w:rFonts w:eastAsia="Calibri"/>
          <w:szCs w:val="24"/>
        </w:rPr>
      </w:pPr>
      <w:r>
        <w:rPr>
          <w:rFonts w:eastAsia="Calibri"/>
          <w:szCs w:val="24"/>
        </w:rPr>
        <w:t xml:space="preserve">Third Recommendation: To involve the Nigerian Universities as partners in national development. </w:t>
      </w:r>
    </w:p>
    <w:p w14:paraId="40B22F59">
      <w:pPr>
        <w:spacing w:after="100" w:afterAutospacing="1"/>
        <w:jc w:val="both"/>
        <w:rPr>
          <w:rFonts w:eastAsia="Calibri"/>
          <w:szCs w:val="24"/>
        </w:rPr>
      </w:pPr>
      <w:r>
        <w:rPr>
          <w:rFonts w:eastAsia="Calibri"/>
          <w:szCs w:val="24"/>
        </w:rPr>
        <w:t xml:space="preserve">My third recommendation is about the university system in Nigeria. One has to recognise that colleges are a lot more than just degree-granting organisations. A university is an institution which develops, tests, assesses, stores, disseminates and uses knowledge. It is a center for making future leaders, professionals, scholars, entrepreneurs, inventors and public servants. If Nigeria is committed to sustainable development, investment in higher education and research should not be an afterthought. It should be crucial in the strategy of national development. Our higher education institutions need serious and sustained finance to support pedagogy, research, innovation and infrastructure. Rebuild the laboratories. We’ve got to build our digital infrastructure. The advanced degree programs should be given more focus. We should help the academic professionals to do important study and share the findings. They should be supported to cooperate across disciplines and between institutions and to transfer knowledge into practical answers to national concerns. And also very important is the necessity to create and deepen the relationships between academic institutions, companies, governmental agencies and communities. </w:t>
      </w:r>
    </w:p>
    <w:p w14:paraId="0ECF407A">
      <w:pPr>
        <w:spacing w:after="100" w:afterAutospacing="1"/>
        <w:jc w:val="both"/>
        <w:rPr>
          <w:rFonts w:eastAsia="Calibri"/>
          <w:szCs w:val="24"/>
        </w:rPr>
      </w:pPr>
      <w:r>
        <w:rPr>
          <w:rFonts w:eastAsia="Calibri"/>
          <w:szCs w:val="24"/>
        </w:rPr>
        <w:t xml:space="preserve">The study should not be in the academic libraries’ archives. Knowledge generated at our institutions should have immediate relevance to the solution of problems in agriculture, health care, manufacturing, sustainability, public governance, financial services, education, digital technology, and other sectors of national importance. This must be done through purposeful efforts including research funding, industry partnership, information sharing, commercialisation, innovation and community engagement. Higher education institutions should be further encouraged to be more entrepreneurial in pursuit of their intellectual goals. Research creates intellectual property that needs protecting and good commercialisation. We need to improve innovation hubs, incubators, research facilities and academia-industry partnership to transfer information from laboratories and classrooms to the marketplace and wider society. We must also recognise that a country’s wealth is not confined to what is below the surface of the earth. </w:t>
      </w:r>
    </w:p>
    <w:p w14:paraId="3FE94550">
      <w:pPr>
        <w:spacing w:after="100" w:afterAutospacing="1"/>
        <w:jc w:val="both"/>
        <w:rPr>
          <w:rFonts w:eastAsia="Calibri"/>
          <w:szCs w:val="24"/>
        </w:rPr>
      </w:pPr>
      <w:r>
        <w:rPr>
          <w:rFonts w:eastAsia="Calibri"/>
          <w:szCs w:val="24"/>
        </w:rPr>
        <w:t xml:space="preserve">Nigeria has oil, gas, solid minerals, forest and arable land, no doubt about it. But many natural resources are limited and may be exhausted. Knowledge, if fostered and applied appropriately, may be a source of constant new value. Therefore, education, research, innovation and human capital should be considered an investment and not an expenditure on the long-term productivity of the Nigeria. </w:t>
      </w:r>
    </w:p>
    <w:p w14:paraId="7314E25B">
      <w:pPr>
        <w:spacing w:after="100" w:afterAutospacing="1"/>
        <w:jc w:val="both"/>
        <w:outlineLvl w:val="1"/>
        <w:rPr>
          <w:rFonts w:eastAsia="Times New Roman"/>
          <w:b/>
          <w:bCs/>
          <w:szCs w:val="24"/>
        </w:rPr>
      </w:pPr>
      <w:r>
        <w:rPr>
          <w:rFonts w:eastAsia="Calibri"/>
          <w:szCs w:val="24"/>
        </w:rPr>
        <w:t xml:space="preserve">Fourth Recommendation: Promote Strategic Public–Private–Community Partnerships. </w:t>
      </w:r>
    </w:p>
    <w:p w14:paraId="033CA42A">
      <w:pPr>
        <w:spacing w:after="100" w:afterAutospacing="1"/>
        <w:jc w:val="both"/>
        <w:rPr>
          <w:rFonts w:eastAsia="Calibri"/>
          <w:szCs w:val="24"/>
        </w:rPr>
      </w:pPr>
      <w:r>
        <w:rPr>
          <w:rFonts w:eastAsia="Calibri"/>
          <w:szCs w:val="24"/>
        </w:rPr>
        <w:t xml:space="preserve">My fourth recommendation is to intentionally develop relationships between government, the commercial sector, academics, civic society, communities and individuals. One major comment on the growth path of Nigeria is that government can not alone tackle all the developmental challenge. It’s not meant to be. The government has a very essential role to play in providing policy guidance, infrastructure, regulation, security and an atmosphere conducive to creative endeavours. The private sector provides funding, management expertise, technology, fresh ideas and jobs. Universities and colleges bring expertise, investigation, skills and innovation. Communities give local knowledge, participation, stewardship and a sense of responsibility for the sustainability of development programs. </w:t>
      </w:r>
    </w:p>
    <w:p w14:paraId="48729056">
      <w:pPr>
        <w:spacing w:after="100" w:afterAutospacing="1"/>
        <w:jc w:val="both"/>
        <w:rPr>
          <w:rFonts w:eastAsia="Calibri"/>
          <w:szCs w:val="24"/>
        </w:rPr>
      </w:pPr>
      <w:r>
        <w:rPr>
          <w:rFonts w:eastAsia="Calibri"/>
          <w:szCs w:val="24"/>
        </w:rPr>
        <w:t xml:space="preserve">These contributions are distinct but synergistic. The idea is to establish places where these players can operate together, not where they can work alone, Public-private partnerships should not be confined to massive infrastructure projects. They can serve to foster research and innovation, skills development, health care delivery, agricultural development, environmental protection, entrepreneurship, digital transformation and local economic development. Community engagement is also crucial. Development projects forced on communities without proper consultation, participation and ownership typically do not result in sustainable outcomes. People are more likely to protect and hold on to efforts in which they’ve had a hand and that they feel are their own. Hence, the foundation of partnership should be the foundation of future national development projects. </w:t>
      </w:r>
    </w:p>
    <w:p w14:paraId="6E180C1B">
      <w:pPr>
        <w:spacing w:after="100" w:afterAutospacing="1"/>
        <w:jc w:val="both"/>
        <w:rPr>
          <w:rFonts w:eastAsia="Calibri"/>
          <w:szCs w:val="24"/>
        </w:rPr>
      </w:pPr>
      <w:r>
        <w:rPr>
          <w:rFonts w:eastAsia="Calibri"/>
          <w:szCs w:val="24"/>
        </w:rPr>
        <w:t xml:space="preserve">The government doesn’t develop for the people. It is viewed as something created in partnership between government, business, universities, communities, civil society and citizens. This demands the Government to go beyond the conventional position of being the single supplier and more toward the role of catalyst, coordinator, regulator, convener and enabler of development partnerships. </w:t>
      </w:r>
    </w:p>
    <w:p w14:paraId="2B9568FD">
      <w:pPr>
        <w:spacing w:after="100" w:afterAutospacing="1"/>
        <w:jc w:val="both"/>
        <w:rPr>
          <w:rFonts w:eastAsia="Calibri"/>
          <w:szCs w:val="24"/>
        </w:rPr>
      </w:pPr>
      <w:r>
        <w:rPr>
          <w:rFonts w:eastAsia="Calibri"/>
          <w:szCs w:val="24"/>
        </w:rPr>
        <w:t xml:space="preserve">Fifth recommendation: Develop a national culture for sustainability </w:t>
      </w:r>
    </w:p>
    <w:p w14:paraId="1DE96B15">
      <w:pPr>
        <w:spacing w:after="100" w:afterAutospacing="1"/>
        <w:jc w:val="both"/>
        <w:rPr>
          <w:rFonts w:eastAsia="Calibri"/>
          <w:szCs w:val="24"/>
        </w:rPr>
      </w:pPr>
      <w:r>
        <w:rPr>
          <w:rFonts w:eastAsia="Calibri"/>
          <w:szCs w:val="24"/>
        </w:rPr>
        <w:t>My fifth proposal is that Nigeria has to build a greater culture of sustainability. One recurrent failing in development practice is the inclination to glorify what has been started, or commissioned. Not enough attention is paid to what comes next. A project can be finished, inaugurated and applauded then start to go bad through lack of upkeep, lack of funds, weak institutional ownership or lack of technical capacity.</w:t>
      </w:r>
    </w:p>
    <w:p w14:paraId="1EBDCECF">
      <w:pPr>
        <w:spacing w:after="100" w:afterAutospacing="1"/>
        <w:jc w:val="both"/>
        <w:rPr>
          <w:rFonts w:eastAsia="Calibri"/>
          <w:szCs w:val="24"/>
        </w:rPr>
      </w:pPr>
      <w:r>
        <w:rPr>
          <w:rFonts w:eastAsia="Calibri"/>
          <w:szCs w:val="24"/>
        </w:rPr>
        <w:t>This poses a more crucial question than whether a project can be done: Is it sustainable?</w:t>
      </w:r>
    </w:p>
    <w:p w14:paraId="72B3AE4B">
      <w:pPr>
        <w:spacing w:after="100" w:afterAutospacing="1"/>
        <w:jc w:val="both"/>
        <w:rPr>
          <w:rFonts w:eastAsia="Calibri"/>
          <w:szCs w:val="24"/>
        </w:rPr>
      </w:pPr>
      <w:r>
        <w:rPr>
          <w:rFonts w:eastAsia="Calibri"/>
          <w:szCs w:val="24"/>
        </w:rPr>
        <w:t xml:space="preserve">That question has to be ingrained in our national development thinking. There is a business case for sustainability. It demands good financial management and investments that can give sustainable benefit. And then there's the environmental side. It claims better management of the natural resources and increased consideration for the long-term repercussions of development activities is necessary. It has an institutional component. It requires continuity, it requires upkeep, it requires good people, it requires strong procedures and institutions that can endure leadership changes. There is a human dimension as well, for no country can thrive without sustained investment in the knowledge, skills, health, productivity and well-being of its people.  </w:t>
      </w:r>
    </w:p>
    <w:p w14:paraId="72325DF1">
      <w:pPr>
        <w:spacing w:after="100" w:afterAutospacing="1"/>
        <w:jc w:val="both"/>
        <w:rPr>
          <w:rFonts w:eastAsia="Calibri"/>
          <w:szCs w:val="24"/>
        </w:rPr>
      </w:pPr>
      <w:r>
        <w:rPr>
          <w:rFonts w:eastAsia="Calibri"/>
          <w:szCs w:val="24"/>
        </w:rPr>
        <w:t>Equally vital is a fresh leadership vision for sustainability. Leaders must be willing to see beyond the current political cycle and to think about what their decisions will signify to the next generation. It is not the amount of roads developed, buildings commissioned, programs launched or ceremonies held that may be the ultimate gauge of leadership.</w:t>
      </w:r>
    </w:p>
    <w:p w14:paraId="114AD992">
      <w:pPr>
        <w:spacing w:after="100" w:afterAutospacing="1"/>
        <w:jc w:val="both"/>
        <w:rPr>
          <w:rFonts w:eastAsia="Calibri"/>
          <w:szCs w:val="24"/>
        </w:rPr>
      </w:pPr>
      <w:r>
        <w:rPr>
          <w:rFonts w:eastAsia="Calibri"/>
          <w:szCs w:val="24"/>
        </w:rPr>
        <w:t>We might also ask:</w:t>
      </w:r>
    </w:p>
    <w:p w14:paraId="7F89629E">
      <w:pPr>
        <w:spacing w:after="100" w:afterAutospacing="1"/>
        <w:jc w:val="both"/>
        <w:rPr>
          <w:rFonts w:eastAsia="Calibri"/>
          <w:szCs w:val="24"/>
        </w:rPr>
      </w:pPr>
      <w:r>
        <w:rPr>
          <w:rFonts w:eastAsia="Calibri"/>
          <w:szCs w:val="24"/>
        </w:rPr>
        <w:t>a. Which institutions have we strengthened?</w:t>
      </w:r>
    </w:p>
    <w:p w14:paraId="54994A86">
      <w:pPr>
        <w:spacing w:after="100" w:afterAutospacing="1"/>
        <w:jc w:val="both"/>
        <w:rPr>
          <w:rFonts w:eastAsia="Calibri"/>
          <w:szCs w:val="24"/>
        </w:rPr>
      </w:pPr>
      <w:r>
        <w:rPr>
          <w:rFonts w:eastAsia="Calibri"/>
          <w:szCs w:val="24"/>
        </w:rPr>
        <w:t>b. What capability did we built in?</w:t>
      </w:r>
    </w:p>
    <w:p w14:paraId="17CCCBBA">
      <w:pPr>
        <w:spacing w:after="100" w:afterAutospacing="1"/>
        <w:jc w:val="both"/>
        <w:rPr>
          <w:rFonts w:eastAsia="Calibri"/>
          <w:szCs w:val="24"/>
        </w:rPr>
      </w:pPr>
      <w:r>
        <w:rPr>
          <w:rFonts w:eastAsia="Calibri"/>
          <w:szCs w:val="24"/>
        </w:rPr>
        <w:t>c. What systems did we leave behind?</w:t>
      </w:r>
    </w:p>
    <w:p w14:paraId="26B05844">
      <w:pPr>
        <w:spacing w:after="100" w:afterAutospacing="1"/>
        <w:jc w:val="both"/>
        <w:rPr>
          <w:rFonts w:eastAsia="Calibri"/>
          <w:szCs w:val="24"/>
        </w:rPr>
      </w:pPr>
      <w:r>
        <w:rPr>
          <w:rFonts w:eastAsia="Calibri"/>
          <w:szCs w:val="24"/>
        </w:rPr>
        <w:t>d. What doors did we open up for those who would follow us?</w:t>
      </w:r>
    </w:p>
    <w:p w14:paraId="5636FD4C">
      <w:pPr>
        <w:spacing w:after="100" w:afterAutospacing="1"/>
        <w:jc w:val="both"/>
        <w:rPr>
          <w:rFonts w:eastAsia="Calibri"/>
          <w:szCs w:val="24"/>
        </w:rPr>
      </w:pPr>
      <w:r>
        <w:rPr>
          <w:rFonts w:eastAsia="Calibri"/>
          <w:szCs w:val="24"/>
        </w:rPr>
        <w:t>These considerations move us beyond the politics of visibility into the deeper duty of nation-building. So, the challenge for Nigeria is not only to pursue additional development projects. It is about putting in place governance processes, institutions, partnerships, knowledge base, human capabilities, leadership culture that can sustain progress over time.</w:t>
      </w:r>
    </w:p>
    <w:p w14:paraId="16A02939">
      <w:pPr>
        <w:spacing w:after="100" w:afterAutospacing="1"/>
        <w:jc w:val="both"/>
        <w:rPr>
          <w:rFonts w:eastAsia="Calibri"/>
          <w:szCs w:val="24"/>
        </w:rPr>
      </w:pPr>
      <w:r>
        <w:rPr>
          <w:rFonts w:eastAsia="Calibri"/>
          <w:szCs w:val="24"/>
        </w:rPr>
        <w:t>This is the practical message of the Strategic Governance–Development Alignment Framework.</w:t>
      </w:r>
    </w:p>
    <w:p w14:paraId="195A36AB">
      <w:pPr>
        <w:spacing w:after="100" w:afterAutospacing="1"/>
        <w:jc w:val="both"/>
        <w:rPr>
          <w:rFonts w:eastAsia="Times New Roman"/>
          <w:szCs w:val="24"/>
        </w:rPr>
      </w:pPr>
      <w:r>
        <w:rPr>
          <w:rFonts w:eastAsia="Calibri"/>
          <w:szCs w:val="24"/>
        </w:rPr>
        <w:t>Sustainable development occurs when strategy, governance, institutions, resources and human capability are consciously integrated to provide durable national results. And this connection cannot be an abstract intellectual idea. It has to be turned into a functioning philosophy of governance, public administration, organisational leadership and national development. The practical test is clear, can this alignment shift Nigeria from scattered interventions and short-term outputs to institutions, capabilities and systems that reliably provide lasting development benefits.</w:t>
      </w:r>
    </w:p>
    <w:p w14:paraId="34EFF21F">
      <w:pPr>
        <w:pStyle w:val="2"/>
        <w:jc w:val="both"/>
        <w:rPr>
          <w:rFonts w:ascii="Times New Roman" w:hAnsi="Times New Roman" w:cs="Times New Roman"/>
          <w:b w:val="0"/>
          <w:color w:val="auto"/>
          <w:kern w:val="36"/>
          <w:sz w:val="24"/>
          <w:szCs w:val="24"/>
        </w:rPr>
      </w:pPr>
      <w:r>
        <w:rPr>
          <w:rFonts w:ascii="Times New Roman" w:hAnsi="Times New Roman" w:cs="Times New Roman"/>
          <w:bCs w:val="0"/>
          <w:color w:val="auto"/>
          <w:kern w:val="36"/>
          <w:sz w:val="24"/>
          <w:szCs w:val="24"/>
        </w:rPr>
        <w:t>12. CONCLUSION: FROM SCHOLARSHIP TO NATIONAL TRANSFORMATION</w:t>
      </w:r>
    </w:p>
    <w:p w14:paraId="74286B59">
      <w:pPr>
        <w:spacing w:after="100" w:afterAutospacing="1"/>
        <w:jc w:val="both"/>
        <w:rPr>
          <w:rFonts w:eastAsia="Calibri"/>
          <w:szCs w:val="24"/>
        </w:rPr>
      </w:pPr>
      <w:r>
        <w:rPr>
          <w:rFonts w:eastAsia="Calibri"/>
          <w:szCs w:val="24"/>
        </w:rPr>
        <w:t xml:space="preserve">As I draw this inaugural lecture to a close, I’d want to leave you with a few parting thoughts. </w:t>
      </w:r>
    </w:p>
    <w:p w14:paraId="4DAB183D">
      <w:pPr>
        <w:spacing w:after="100" w:afterAutospacing="1"/>
        <w:jc w:val="both"/>
        <w:rPr>
          <w:rFonts w:eastAsia="Calibri"/>
          <w:szCs w:val="24"/>
        </w:rPr>
      </w:pPr>
      <w:r>
        <w:rPr>
          <w:rFonts w:eastAsia="Calibri"/>
          <w:szCs w:val="24"/>
        </w:rPr>
        <w:t xml:space="preserve">I have given you the results of the studies that I did, and the ideas that I found in the literature, but what I've had to present to you here is a discussion of what I learned. It stems from my passion for the journey to the question and my intellectual curiosity to observation; research; teaching and experience in the dynamics and process of creating and sustaining value in organisations, institutions and communities. </w:t>
      </w:r>
    </w:p>
    <w:p w14:paraId="37CDAD02">
      <w:pPr>
        <w:spacing w:after="100" w:afterAutospacing="1"/>
        <w:jc w:val="both"/>
        <w:rPr>
          <w:rFonts w:eastAsia="Calibri"/>
          <w:szCs w:val="24"/>
        </w:rPr>
      </w:pPr>
      <w:r>
        <w:rPr>
          <w:rFonts w:eastAsia="Calibri"/>
          <w:szCs w:val="24"/>
        </w:rPr>
        <w:t xml:space="preserve">My studies started with organisations and the creation, preservation and sharing of value by firms. As time passed, a more general form of questions was used. I started to wonder how civilizations develop values, sustain them and then promote them as means of improving the quality of life for their citizens. </w:t>
      </w:r>
    </w:p>
    <w:p w14:paraId="6872FF30">
      <w:pPr>
        <w:spacing w:after="100" w:afterAutospacing="1"/>
        <w:jc w:val="both"/>
        <w:rPr>
          <w:rFonts w:eastAsia="Calibri"/>
          <w:szCs w:val="24"/>
        </w:rPr>
      </w:pPr>
      <w:r>
        <w:rPr>
          <w:rFonts w:eastAsia="Calibri"/>
          <w:szCs w:val="24"/>
        </w:rPr>
        <w:t xml:space="preserve">This question brought me towards more general questions of governance, institutions, leadership, public policy and national development. </w:t>
      </w:r>
    </w:p>
    <w:p w14:paraId="1EB4CFFF">
      <w:pPr>
        <w:spacing w:after="100" w:afterAutospacing="1"/>
        <w:jc w:val="both"/>
        <w:rPr>
          <w:rFonts w:eastAsia="Calibri"/>
          <w:szCs w:val="24"/>
        </w:rPr>
      </w:pPr>
      <w:r>
        <w:rPr>
          <w:rFonts w:eastAsia="Calibri"/>
          <w:szCs w:val="24"/>
        </w:rPr>
        <w:t xml:space="preserve">The essence of this lecture is that Nigeria has no dearth of resources, there are no dearth of ideas and the human man. The challenge is to integrate these capacities into coordinated institutions and governance arrangements in terms of strategy, implementation, accountability, engagement and sustainability. </w:t>
      </w:r>
    </w:p>
    <w:p w14:paraId="199C3145">
      <w:pPr>
        <w:spacing w:after="100" w:afterAutospacing="1"/>
        <w:jc w:val="both"/>
        <w:rPr>
          <w:rFonts w:eastAsia="Calibri"/>
          <w:szCs w:val="24"/>
        </w:rPr>
      </w:pPr>
      <w:r>
        <w:rPr>
          <w:rFonts w:eastAsia="Calibri"/>
          <w:szCs w:val="24"/>
        </w:rPr>
        <w:t xml:space="preserve">And that's sort of what I want us to take away from this lecture. </w:t>
      </w:r>
    </w:p>
    <w:p w14:paraId="181AF06C">
      <w:pPr>
        <w:spacing w:after="100" w:afterAutospacing="1"/>
        <w:jc w:val="both"/>
        <w:rPr>
          <w:rFonts w:eastAsia="Calibri"/>
          <w:szCs w:val="24"/>
        </w:rPr>
      </w:pPr>
      <w:r>
        <w:rPr>
          <w:rFonts w:eastAsia="Calibri"/>
          <w:szCs w:val="24"/>
        </w:rPr>
        <w:t xml:space="preserve">As history has taught us, the wealth of a country is not assured by its natural resources. Institutions and mechanisms can be developed that can turn resources and capabilities into sustainable improvements to people's lives, and such development can be achieved permanently by the development of such mechanisms and institutions by nations. The challenge for Nigeria is therefore how to improve the effectiveness of that transformation and increase its reliability. </w:t>
      </w:r>
    </w:p>
    <w:p w14:paraId="5C86163B">
      <w:pPr>
        <w:spacing w:after="100" w:afterAutospacing="1"/>
        <w:jc w:val="both"/>
        <w:rPr>
          <w:rFonts w:eastAsia="Calibri"/>
          <w:szCs w:val="24"/>
        </w:rPr>
      </w:pPr>
      <w:r>
        <w:rPr>
          <w:rFonts w:eastAsia="Calibri"/>
          <w:szCs w:val="24"/>
        </w:rPr>
        <w:t xml:space="preserve">For this reason, I shared the Strategic Governance-Development Alignment Framework. </w:t>
      </w:r>
    </w:p>
    <w:p w14:paraId="1F0FBBB7">
      <w:pPr>
        <w:spacing w:after="100" w:afterAutospacing="1"/>
        <w:jc w:val="both"/>
        <w:rPr>
          <w:rFonts w:eastAsia="Calibri"/>
          <w:szCs w:val="24"/>
        </w:rPr>
      </w:pPr>
      <w:r>
        <w:rPr>
          <w:rFonts w:eastAsia="Calibri"/>
          <w:szCs w:val="24"/>
        </w:rPr>
        <w:t xml:space="preserve">I submit, as a scholar, the framework. It is a conceptual addition; one that tries to add some order to the complex development problem, to provide hypotheses for testing, and to provide a blueprint for future research and institutional experimentation. </w:t>
      </w:r>
    </w:p>
    <w:p w14:paraId="39A10CA2">
      <w:pPr>
        <w:spacing w:after="100" w:afterAutospacing="1"/>
        <w:jc w:val="both"/>
        <w:rPr>
          <w:rFonts w:eastAsia="Calibri"/>
          <w:szCs w:val="24"/>
        </w:rPr>
      </w:pPr>
      <w:r>
        <w:rPr>
          <w:rFonts w:eastAsia="Calibri"/>
          <w:szCs w:val="24"/>
        </w:rPr>
        <w:t>It is not my aim to assert that it is the solution to the complicated issues of national development. I believe that it is a contribution to an ongoing scholarly and practical forum on which further investigation, discussion, testing and development may take place.</w:t>
      </w:r>
    </w:p>
    <w:p w14:paraId="726E82AF">
      <w:pPr>
        <w:spacing w:after="100" w:afterAutospacing="1"/>
        <w:jc w:val="both"/>
        <w:rPr>
          <w:rFonts w:eastAsia="Calibri"/>
          <w:szCs w:val="24"/>
        </w:rPr>
      </w:pPr>
      <w:r>
        <w:rPr>
          <w:rFonts w:eastAsia="Calibri"/>
          <w:szCs w:val="24"/>
        </w:rPr>
        <w:t>I dare my co-scholars to challenge it.</w:t>
      </w:r>
    </w:p>
    <w:p w14:paraId="149859A1">
      <w:pPr>
        <w:spacing w:after="100" w:afterAutospacing="1"/>
        <w:jc w:val="both"/>
        <w:rPr>
          <w:rFonts w:eastAsia="Calibri"/>
          <w:szCs w:val="24"/>
        </w:rPr>
      </w:pPr>
      <w:r>
        <w:rPr>
          <w:rFonts w:eastAsia="Calibri"/>
          <w:szCs w:val="24"/>
        </w:rPr>
        <w:t>Researchers are called upon to study its thoughts.</w:t>
      </w:r>
    </w:p>
    <w:p w14:paraId="33B33840">
      <w:pPr>
        <w:spacing w:after="100" w:afterAutospacing="1"/>
        <w:jc w:val="both"/>
        <w:rPr>
          <w:rFonts w:eastAsia="Calibri"/>
          <w:szCs w:val="24"/>
        </w:rPr>
      </w:pPr>
      <w:r>
        <w:rPr>
          <w:rFonts w:eastAsia="Calibri"/>
          <w:szCs w:val="24"/>
        </w:rPr>
        <w:t>I call on policy makers to think about the actual impacts.</w:t>
      </w:r>
    </w:p>
    <w:p w14:paraId="7D81C304">
      <w:pPr>
        <w:spacing w:after="100" w:afterAutospacing="1"/>
        <w:jc w:val="both"/>
        <w:rPr>
          <w:rFonts w:eastAsia="Calibri"/>
          <w:szCs w:val="24"/>
        </w:rPr>
      </w:pPr>
      <w:r>
        <w:rPr>
          <w:rFonts w:eastAsia="Calibri"/>
          <w:szCs w:val="24"/>
        </w:rPr>
        <w:t>I invite universities and other learning institutions to further investigate.</w:t>
      </w:r>
    </w:p>
    <w:p w14:paraId="76237380">
      <w:pPr>
        <w:spacing w:after="100" w:afterAutospacing="1"/>
        <w:jc w:val="both"/>
        <w:rPr>
          <w:rFonts w:eastAsia="Calibri"/>
          <w:szCs w:val="24"/>
        </w:rPr>
      </w:pPr>
      <w:r>
        <w:rPr>
          <w:rFonts w:eastAsia="Calibri"/>
          <w:szCs w:val="24"/>
        </w:rPr>
        <w:t>I hope that those who are to come after us do better than we have done: that each generation of scholars adds to the intellectual contributions of those who have gone before.</w:t>
      </w:r>
    </w:p>
    <w:p w14:paraId="4912E9DD">
      <w:pPr>
        <w:spacing w:after="100" w:afterAutospacing="1"/>
        <w:jc w:val="both"/>
        <w:rPr>
          <w:rFonts w:eastAsia="Calibri"/>
          <w:szCs w:val="24"/>
        </w:rPr>
      </w:pPr>
      <w:r>
        <w:rPr>
          <w:rFonts w:eastAsia="Calibri"/>
          <w:szCs w:val="24"/>
        </w:rPr>
        <w:t>To me, that's what is neat about a scholarship.</w:t>
      </w:r>
    </w:p>
    <w:p w14:paraId="75A2A091">
      <w:pPr>
        <w:spacing w:after="100" w:afterAutospacing="1"/>
        <w:jc w:val="both"/>
        <w:rPr>
          <w:rFonts w:eastAsia="Calibri"/>
          <w:szCs w:val="24"/>
        </w:rPr>
      </w:pPr>
      <w:r>
        <w:rPr>
          <w:rFonts w:eastAsia="Calibri"/>
          <w:szCs w:val="24"/>
        </w:rPr>
        <w:t>Ideas and knowledge are strengthened when they are questioned, tested, challenged, improved and extended. Larger scholarship isn't gained from avoiding criticism of ideas, but comes from subjecting ideas to the most rigorous scrutiny.</w:t>
      </w:r>
    </w:p>
    <w:p w14:paraId="7AF6E058">
      <w:pPr>
        <w:spacing w:after="100" w:afterAutospacing="1"/>
        <w:jc w:val="both"/>
        <w:rPr>
          <w:rFonts w:eastAsia="Times New Roman"/>
          <w:szCs w:val="24"/>
        </w:rPr>
      </w:pPr>
      <w:r>
        <w:rPr>
          <w:rFonts w:eastAsia="Calibri"/>
          <w:szCs w:val="24"/>
        </w:rPr>
        <w:t>If this can motivate more research, aid public policy, initiate a constructive intellectual debate or at least contributory, provide a small boost to governance and sustainable development in Nigeria and around the world, then I will consider the intellectual journey to this point worthwhile.</w:t>
      </w:r>
    </w:p>
    <w:p w14:paraId="6C0991F8">
      <w:pPr>
        <w:spacing w:after="100" w:afterAutospacing="1"/>
        <w:jc w:val="both"/>
        <w:rPr>
          <w:szCs w:val="24"/>
        </w:rPr>
      </w:pPr>
      <w:r>
        <w:rPr>
          <w:rFonts w:eastAsia="Calibri"/>
          <w:szCs w:val="24"/>
        </w:rPr>
        <w:t>Thank you very much for your kind attention.</w:t>
      </w:r>
    </w:p>
    <w:p w14:paraId="4631B6A1">
      <w:pPr>
        <w:spacing w:after="100" w:afterAutospacing="1"/>
        <w:jc w:val="both"/>
        <w:rPr>
          <w:szCs w:val="24"/>
        </w:rPr>
      </w:pPr>
      <w:r>
        <w:rPr>
          <w:rFonts w:eastAsia="Calibri"/>
          <w:szCs w:val="24"/>
        </w:rPr>
        <w:t>God bless Ambrose Alli University.</w:t>
      </w:r>
    </w:p>
    <w:p w14:paraId="7C3808BD">
      <w:pPr>
        <w:spacing w:after="100" w:afterAutospacing="1"/>
        <w:jc w:val="both"/>
        <w:rPr>
          <w:szCs w:val="24"/>
        </w:rPr>
      </w:pPr>
      <w:r>
        <w:rPr>
          <w:rFonts w:eastAsia="Calibri"/>
          <w:szCs w:val="24"/>
        </w:rPr>
        <w:t>God bless Edo State.</w:t>
      </w:r>
    </w:p>
    <w:p w14:paraId="0CB43B17">
      <w:pPr>
        <w:spacing w:before="240"/>
        <w:jc w:val="both"/>
        <w:rPr>
          <w:rFonts w:eastAsia="Calibri"/>
          <w:szCs w:val="24"/>
        </w:rPr>
      </w:pPr>
      <w:r>
        <w:rPr>
          <w:rFonts w:eastAsia="Calibri"/>
          <w:szCs w:val="24"/>
        </w:rPr>
        <w:t>And God bless the Federal Republic of Nigeria.</w:t>
      </w:r>
    </w:p>
    <w:p w14:paraId="0451B725">
      <w:pPr>
        <w:spacing w:before="240"/>
        <w:jc w:val="both"/>
        <w:rPr>
          <w:rFonts w:eastAsia="Calibri"/>
          <w:szCs w:val="24"/>
        </w:rPr>
      </w:pPr>
    </w:p>
    <w:p w14:paraId="68C23D09">
      <w:pPr>
        <w:spacing w:before="240"/>
        <w:jc w:val="both"/>
        <w:rPr>
          <w:rFonts w:eastAsia="Calibri"/>
          <w:szCs w:val="24"/>
        </w:rPr>
      </w:pPr>
    </w:p>
    <w:p w14:paraId="376A37EB">
      <w:pPr>
        <w:spacing w:before="240"/>
        <w:jc w:val="both"/>
        <w:rPr>
          <w:rFonts w:eastAsia="Calibri"/>
          <w:szCs w:val="24"/>
        </w:rPr>
      </w:pPr>
    </w:p>
    <w:p w14:paraId="14BDBD88">
      <w:pPr>
        <w:spacing w:before="240"/>
        <w:jc w:val="both"/>
        <w:rPr>
          <w:rFonts w:eastAsia="Calibri"/>
          <w:szCs w:val="24"/>
        </w:rPr>
      </w:pPr>
    </w:p>
    <w:p w14:paraId="42CC8053">
      <w:pPr>
        <w:spacing w:before="240"/>
        <w:jc w:val="both"/>
        <w:rPr>
          <w:rFonts w:eastAsia="Calibri"/>
          <w:szCs w:val="24"/>
        </w:rPr>
      </w:pPr>
    </w:p>
    <w:p w14:paraId="1E71A7AB">
      <w:pPr>
        <w:spacing w:before="240"/>
        <w:jc w:val="both"/>
        <w:rPr>
          <w:rFonts w:eastAsia="Calibri"/>
          <w:szCs w:val="24"/>
        </w:rPr>
      </w:pPr>
    </w:p>
    <w:p w14:paraId="11DD5A44">
      <w:pPr>
        <w:spacing w:before="240"/>
        <w:jc w:val="both"/>
        <w:rPr>
          <w:rFonts w:eastAsia="Calibri"/>
          <w:szCs w:val="24"/>
        </w:rPr>
      </w:pPr>
    </w:p>
    <w:p w14:paraId="1070C703">
      <w:pPr>
        <w:spacing w:before="100" w:beforeAutospacing="1" w:after="100" w:afterAutospacing="1" w:line="240" w:lineRule="auto"/>
        <w:jc w:val="both"/>
        <w:outlineLvl w:val="0"/>
        <w:rPr>
          <w:rFonts w:eastAsia="Times New Roman" w:cs="Times New Roman"/>
          <w:b/>
          <w:bCs/>
          <w:kern w:val="36"/>
          <w:szCs w:val="24"/>
        </w:rPr>
      </w:pPr>
      <w:r>
        <w:rPr>
          <w:rFonts w:eastAsia="Times New Roman" w:cs="Times New Roman"/>
          <w:b/>
          <w:bCs/>
          <w:kern w:val="36"/>
          <w:szCs w:val="24"/>
        </w:rPr>
        <w:t>ACKNOWLEDGEMENTS</w:t>
      </w:r>
    </w:p>
    <w:p w14:paraId="518F70D1">
      <w:pPr>
        <w:spacing w:before="100" w:beforeAutospacing="1" w:after="100" w:afterAutospacing="1" w:line="240" w:lineRule="auto"/>
        <w:jc w:val="both"/>
        <w:rPr>
          <w:rFonts w:eastAsia="Times New Roman" w:cs="Times New Roman"/>
          <w:szCs w:val="24"/>
        </w:rPr>
      </w:pPr>
      <w:r>
        <w:rPr>
          <w:rFonts w:eastAsia="Times New Roman" w:cs="Times New Roman"/>
          <w:szCs w:val="24"/>
        </w:rPr>
        <w:t>First and foremost, I return all glory, honour, and thanksgiving to the Almighty God.</w:t>
      </w:r>
    </w:p>
    <w:p w14:paraId="06E7DAA5">
      <w:pPr>
        <w:spacing w:before="100" w:beforeAutospacing="1" w:after="100" w:afterAutospacing="1" w:line="240" w:lineRule="auto"/>
        <w:jc w:val="both"/>
        <w:rPr>
          <w:rFonts w:eastAsia="Times New Roman" w:cs="Times New Roman"/>
          <w:szCs w:val="24"/>
        </w:rPr>
      </w:pPr>
      <w:r>
        <w:rPr>
          <w:rFonts w:eastAsia="Times New Roman" w:cs="Times New Roman"/>
          <w:szCs w:val="24"/>
        </w:rPr>
        <w:t>As I stand before you today, I am conscious that no one arrives at a moment such as this by strength alone. Behind every milestone are unseen hands, whispered prayers, timely counsel, open doors, second chances, and the grace to continue when the road becomes difficult. My journey through life and academia has been no different.</w:t>
      </w:r>
    </w:p>
    <w:p w14:paraId="07BBA1D2">
      <w:pPr>
        <w:spacing w:before="100" w:beforeAutospacing="1" w:after="100" w:afterAutospacing="1" w:line="240" w:lineRule="auto"/>
        <w:jc w:val="both"/>
        <w:rPr>
          <w:rFonts w:eastAsia="Times New Roman" w:cs="Times New Roman"/>
          <w:szCs w:val="24"/>
        </w:rPr>
      </w:pPr>
      <w:r>
        <w:rPr>
          <w:rFonts w:eastAsia="Times New Roman" w:cs="Times New Roman"/>
          <w:szCs w:val="24"/>
        </w:rPr>
        <w:t>There were seasons when I could not see clearly what lay ahead. There were moments of uncertainty, moments of disappointment, moments when the demands of scholarship, administration, and family seemed overwhelming. Yet, through every season, God remained faithful. He provided when there was need, strengthened me when I was weak, opened doors when I could not see a way through, and surrounded me with people whose presence became part of His answer to my prayers.</w:t>
      </w:r>
    </w:p>
    <w:p w14:paraId="443B9968">
      <w:pPr>
        <w:spacing w:before="100" w:beforeAutospacing="1" w:after="100" w:afterAutospacing="1" w:line="240" w:lineRule="auto"/>
        <w:jc w:val="both"/>
        <w:rPr>
          <w:rFonts w:eastAsia="Times New Roman" w:cs="Times New Roman"/>
          <w:szCs w:val="24"/>
        </w:rPr>
      </w:pPr>
      <w:r>
        <w:rPr>
          <w:rFonts w:eastAsia="Times New Roman" w:cs="Times New Roman"/>
          <w:szCs w:val="24"/>
        </w:rPr>
        <w:t>If I stand before you today as a professor, a scholar, and a university administrator, it is not because the journey was always easy. It is because God's grace was always sufficient.</w:t>
      </w:r>
    </w:p>
    <w:p w14:paraId="3D78F363">
      <w:pPr>
        <w:spacing w:before="100" w:beforeAutospacing="1" w:after="100" w:afterAutospacing="1" w:line="240" w:lineRule="auto"/>
        <w:jc w:val="both"/>
        <w:rPr>
          <w:rFonts w:eastAsia="Times New Roman" w:cs="Times New Roman"/>
          <w:szCs w:val="24"/>
        </w:rPr>
      </w:pPr>
      <w:r>
        <w:rPr>
          <w:rFonts w:eastAsia="Times New Roman" w:cs="Times New Roman"/>
          <w:szCs w:val="24"/>
        </w:rPr>
        <w:t>To Him alone be all the glory.</w:t>
      </w:r>
    </w:p>
    <w:p w14:paraId="641DF72D">
      <w:pPr>
        <w:spacing w:before="100" w:beforeAutospacing="1" w:after="100" w:afterAutospacing="1" w:line="240" w:lineRule="auto"/>
        <w:jc w:val="both"/>
        <w:rPr>
          <w:rFonts w:eastAsia="Times New Roman" w:cs="Times New Roman"/>
          <w:szCs w:val="24"/>
        </w:rPr>
      </w:pPr>
      <w:r>
        <w:rPr>
          <w:rFonts w:eastAsia="Times New Roman" w:cs="Times New Roman"/>
          <w:szCs w:val="24"/>
        </w:rPr>
        <w:t>I sincerely appreciate the Vice-Chancellor of Ambrose Alli University, Prof. (Mrs.) Eunice Eboiserehimen Omonzejie, for her support, encouragement, goodwill, and exemplary leadership. Madam Vice-Chancellor, I am grateful for the confidence you have in me and for the opportunity to serve under your leadership. Leadership is sustained not only by authority but also by the confidence and encouragement extended to those entrusted with responsibility. I appreciate the confidence you have shown in me.</w:t>
      </w:r>
    </w:p>
    <w:p w14:paraId="6CA06DDC">
      <w:pPr>
        <w:spacing w:before="100" w:beforeAutospacing="1" w:after="100" w:afterAutospacing="1" w:line="240" w:lineRule="auto"/>
        <w:jc w:val="both"/>
        <w:rPr>
          <w:rFonts w:eastAsia="Times New Roman" w:cs="Times New Roman"/>
          <w:szCs w:val="24"/>
        </w:rPr>
      </w:pPr>
      <w:r>
        <w:rPr>
          <w:rFonts w:eastAsia="Times New Roman" w:cs="Times New Roman"/>
          <w:szCs w:val="24"/>
        </w:rPr>
        <w:t>I also acknowledge Prof. Andrew Eromonsele, Deputy Vice-Chancellor (Administration), and Prof. Osagie Ekhator, Deputy Vice-Chancellor (Academic), for their support and for the role they continue to play in the administration of the University.</w:t>
      </w:r>
    </w:p>
    <w:p w14:paraId="61A37C11">
      <w:pPr>
        <w:spacing w:before="100" w:beforeAutospacing="1" w:after="100" w:afterAutospacing="1" w:line="240" w:lineRule="auto"/>
        <w:jc w:val="both"/>
        <w:rPr>
          <w:rFonts w:eastAsia="Times New Roman" w:cs="Times New Roman"/>
          <w:szCs w:val="24"/>
        </w:rPr>
      </w:pPr>
      <w:r>
        <w:rPr>
          <w:rFonts w:eastAsia="Times New Roman" w:cs="Times New Roman"/>
          <w:szCs w:val="24"/>
        </w:rPr>
        <w:t>There are people whose influence on one's life begins long before one fully understands its significance. I remember with deep gratitude Bishop and Pastor (Mrs.) Mon Igbinosa, who contributed to my early spiritual upbringing. The foundations laid in our formative years often remain with us long after the circumstances in which they were laid have passed. I am grateful for that foundation.</w:t>
      </w:r>
    </w:p>
    <w:p w14:paraId="57DB8EC9">
      <w:pPr>
        <w:spacing w:before="100" w:beforeAutospacing="1" w:after="100" w:afterAutospacing="1" w:line="240" w:lineRule="auto"/>
        <w:jc w:val="both"/>
        <w:rPr>
          <w:rFonts w:eastAsia="Times New Roman" w:cs="Times New Roman"/>
          <w:szCs w:val="24"/>
        </w:rPr>
      </w:pPr>
      <w:r>
        <w:rPr>
          <w:rFonts w:eastAsia="Times New Roman" w:cs="Times New Roman"/>
          <w:szCs w:val="24"/>
        </w:rPr>
        <w:t>I also appreciate Prof. Theophilus Agweda and his family, whose friendship, brotherhood, encouragement, and goodwill have been a source of strength to me over the years. Some relationships grow beyond friendship and become part of one's personal history. I count yours among such relationships.</w:t>
      </w:r>
    </w:p>
    <w:p w14:paraId="1D01A377">
      <w:pPr>
        <w:spacing w:before="100" w:beforeAutospacing="1" w:after="100" w:afterAutospacing="1" w:line="240" w:lineRule="auto"/>
        <w:jc w:val="both"/>
        <w:rPr>
          <w:rFonts w:eastAsia="Times New Roman" w:cs="Times New Roman"/>
          <w:szCs w:val="24"/>
        </w:rPr>
      </w:pPr>
      <w:r>
        <w:rPr>
          <w:rFonts w:eastAsia="Times New Roman" w:cs="Times New Roman"/>
          <w:szCs w:val="24"/>
        </w:rPr>
        <w:t>To my spiritual father, Bishop Wale Ajayi, Bishop of Church of God Mission International (The Historic Miracle Centre), I express my profound gratitude for your teachings, prayers, encouragement, and support. In the life of every person, there are moments when intellectual knowledge alone is not enough; one needs faith, spiritual direction, and the assurance that someone is praying. Thank you for being there.</w:t>
      </w:r>
    </w:p>
    <w:p w14:paraId="62E8DC07">
      <w:pPr>
        <w:spacing w:before="100" w:beforeAutospacing="1" w:after="100" w:afterAutospacing="1" w:line="240" w:lineRule="auto"/>
        <w:jc w:val="both"/>
        <w:rPr>
          <w:rFonts w:eastAsia="Times New Roman" w:cs="Times New Roman"/>
          <w:szCs w:val="24"/>
        </w:rPr>
      </w:pPr>
      <w:r>
        <w:rPr>
          <w:rFonts w:eastAsia="Times New Roman" w:cs="Times New Roman"/>
          <w:szCs w:val="24"/>
        </w:rPr>
        <w:t>I remember with gratitude the late Emeritus Professor J. E. A. Osemeikhan, of blessed memory. He facilitated my appointment as a Graduate Assistant, thereby opening a door that would eventually lead me into the academic profession. At the time, perhaps neither of us could have known how significant that opportunity would become. But sometimes a person's greatest contribution to another person's life is simply to open a door. Professor Osemeikhan opened one for me. That appointment was more than a job. It was the beginning of a journey. For that reason, his memory occupies a special place in my academic story. I remain grateful for the confidence he showed me and for the opportunity he gave me. May his soul continue to rest in peace.</w:t>
      </w:r>
    </w:p>
    <w:p w14:paraId="1A4DE38B">
      <w:pPr>
        <w:spacing w:before="100" w:beforeAutospacing="1" w:after="100" w:afterAutospacing="1" w:line="240" w:lineRule="auto"/>
        <w:jc w:val="both"/>
        <w:rPr>
          <w:rFonts w:eastAsia="Times New Roman" w:cs="Times New Roman"/>
          <w:szCs w:val="24"/>
        </w:rPr>
      </w:pPr>
      <w:r>
        <w:rPr>
          <w:rFonts w:eastAsia="Times New Roman" w:cs="Times New Roman"/>
          <w:szCs w:val="24"/>
        </w:rPr>
        <w:t>My elder brother, Professor J. U. Idialu, deserves special recognition and a very special place in these acknowledgements. You have been more than an elder brother. You have been a mentor, adviser, confidant, critic, and encourager. At different stages of my life, you have offered guidance when I needed direction, counsel when I needed perspective, and encouragement when the journey became demanding. Family relationships are sometimes taken for granted because they are always there. But I do not take yours for granted. I recognise the sacrifices, the counsel, the support, and the quiet ways in which you have contributed to the person I have become. Thank you.</w:t>
      </w:r>
    </w:p>
    <w:p w14:paraId="391F0DA9">
      <w:pPr>
        <w:spacing w:before="100" w:beforeAutospacing="1" w:after="100" w:afterAutospacing="1" w:line="240" w:lineRule="auto"/>
        <w:jc w:val="both"/>
        <w:rPr>
          <w:rFonts w:eastAsia="Times New Roman" w:cs="Times New Roman"/>
          <w:szCs w:val="24"/>
        </w:rPr>
      </w:pPr>
      <w:r>
        <w:rPr>
          <w:rFonts w:eastAsia="Times New Roman" w:cs="Times New Roman"/>
          <w:szCs w:val="24"/>
        </w:rPr>
        <w:t>I also acknowledge Professor D. O. Aigbomian, who gave me the opportunity to serve as Acting Head of the Department of Business Administration; Professor E. J. Ofanson, under whose leadership I served as Part-Time Coordinator; Professor I. Onimawo, who ensured my professorial papers for external assessment were sent out at the twilight of his tenure. I’m indeed grateful sir. Professor A. S. Adagbonyin, the then Acting Vice-Chancellor, who appointed me Acting Dean of the Faculty of Management Sciences, thank you sir. Each of these appointments represented a vote of confidence. Each came with responsibility. Each presented a different opportunity to learn, to serve, to make mistakes, to improve, and to grow. Looking back, I recognise that academic administration is itself a school. It teaches patience. It teaches negotiation. It teaches responsibility.  It teaches one that people, rather than files, policies, and structures, are at the heart of every institution. I am grateful for every opportunity I was given to serve.</w:t>
      </w:r>
    </w:p>
    <w:p w14:paraId="775BCEC7">
      <w:pPr>
        <w:spacing w:before="100" w:beforeAutospacing="1" w:after="100" w:afterAutospacing="1" w:line="240" w:lineRule="auto"/>
        <w:jc w:val="both"/>
        <w:rPr>
          <w:rFonts w:eastAsia="Times New Roman" w:cs="Times New Roman"/>
          <w:szCs w:val="24"/>
        </w:rPr>
      </w:pPr>
      <w:r>
        <w:rPr>
          <w:rFonts w:eastAsia="Times New Roman" w:cs="Times New Roman"/>
          <w:szCs w:val="24"/>
        </w:rPr>
        <w:t>To my colleagues in the Department of Business Administration, particularly my Head of Department, Dr. (Mrs.) Joy Itoya, and Prof. Osagie Godwin Nosakhare, Prof. Peter A. Ihionkhan, Prof. P. O. Igudia, Prof. K. Imafidon, Dr. Ugbomhe O. Ugbomhe, Dr. C. A. Owuze, Dr. P. A. Akhator, Dr. P. Okpamen, Dr. S. Osarenmwinda, Dr. S. Osaigbovo, Dr. P. I. Ohue, Dr. S. Idemudia, Dr. Nelson Uyi, and Mrs. James-Umugo Loveth, I say a heartfelt thank you. A department is more than an organisational unit. It is a community of scholars, teachers, administrators, ideas, disagreements, collaborations, and shared responsibilities. Over the years, you have been colleagues with whom I have shared the joys and pressures of academic life. I appreciate your friendship, cooperation, understanding, and support.</w:t>
      </w:r>
    </w:p>
    <w:p w14:paraId="1818A5F3">
      <w:pPr>
        <w:spacing w:before="100" w:beforeAutospacing="1" w:after="100" w:afterAutospacing="1" w:line="240" w:lineRule="auto"/>
        <w:jc w:val="both"/>
        <w:rPr>
          <w:rFonts w:eastAsia="Times New Roman" w:cs="Times New Roman"/>
          <w:szCs w:val="24"/>
        </w:rPr>
      </w:pPr>
      <w:r>
        <w:rPr>
          <w:rFonts w:eastAsia="Times New Roman" w:cs="Times New Roman"/>
          <w:szCs w:val="24"/>
        </w:rPr>
        <w:t>Let me acknowledge past Deans of the Faculty of Management Sciences, who tirelessly laid the solid foundation we are enjoying today as a faculty – Late Professor F. E. Iyoha, Late Professor V. O. Aghayere, Professor O. M. Aigbokhaevbolo, Professor J. Azelama, Professor W. Idada, and Professor E. J. Ofanson. To the distinguished members of the Faculty of Management Sciences: Prof. O. M. Aigbokhaevbolo, Prof. P. O. Oviasuyi, Prof. A. E. Asemota, Prof. L. A. Ibadin, Prof. S. Enabunene, Prof. J. Oboh, Prof. O. Osumah, Prof. O. E. Ubhenin, Dr. N. A. Omoregie, Dr. R. I. Oghuma, Dr. M. Isedu, Dr. (Mrs.) J. A. Onimawo, Dr. R. O. Okolie, Dr. C. Iserameiya, Dr. C. Akahomen, Dr. S. Ogbaisi, Dr. (Mrs.) E. Aigbomian, Mr. A. Imafidon, Dr. M. O. Okoh, Dr. O. Ogiemudia, Dr. (Mrs.) Otti O. Olubunmi, Mr. K. Okunwe, Mrs. L. Okosun, Mr. F. Irabor, H. Oigiangbe, Mr. D. Ehioze, Mrs. E. Aitimon, Miss B. Ojo, and Miss E. Orere,  I thank you sincerely, for the confidence repose in me to serve you as the Dean. Thank you again for your encouragement, support and understanding throughout my tenure.</w:t>
      </w:r>
    </w:p>
    <w:p w14:paraId="04A32649">
      <w:pPr>
        <w:spacing w:before="100" w:beforeAutospacing="1" w:after="100" w:afterAutospacing="1" w:line="240" w:lineRule="auto"/>
        <w:jc w:val="both"/>
        <w:rPr>
          <w:rFonts w:eastAsia="Times New Roman" w:cs="Times New Roman"/>
          <w:szCs w:val="24"/>
        </w:rPr>
      </w:pPr>
      <w:r>
        <w:rPr>
          <w:rFonts w:eastAsia="Times New Roman" w:cs="Times New Roman"/>
          <w:szCs w:val="24"/>
        </w:rPr>
        <w:t>I also acknowledge the Heads of Departments who served during my tenure as Dean: Prof. S. O. Ajagun, Prof. P. O. Igudia, Dr. Ugbomhe O. Ugbomhe, Prof. P. A. Ihionkhan, Dr. O. J. Erhabor, Dr. C. Omogbai, Dr. Glory Ehchioya, Dr. E. G. Imonie, and Dr. E. Afensimi. When one is given the privilege of leading, it is easy for the public to associate the achievements of an institution with the person at the top. But those who have served in leadership know better. No Dean achieves anything alone. Whatever we accomplished in the faculty during my tenure was the product of collective effort. It was the result of meetings, conversations, disagreements, compromises, ideas, corrections, persistence, and, above all, teamwork. I therefore acknowledge each of you not merely as colleagues who served during my tenure, but as partners in a shared responsibility.</w:t>
      </w:r>
    </w:p>
    <w:p w14:paraId="02006B2E">
      <w:pPr>
        <w:spacing w:before="100" w:beforeAutospacing="1" w:after="100" w:afterAutospacing="1" w:line="240" w:lineRule="auto"/>
        <w:jc w:val="both"/>
        <w:rPr>
          <w:rFonts w:eastAsia="Times New Roman" w:cs="Times New Roman"/>
          <w:szCs w:val="24"/>
        </w:rPr>
      </w:pPr>
      <w:r>
        <w:rPr>
          <w:rFonts w:eastAsia="Times New Roman" w:cs="Times New Roman"/>
          <w:szCs w:val="24"/>
        </w:rPr>
        <w:t>To the non-teaching staff of the faculty, particularly those in Dean’s Office: Mr S. I. Oseimelu, Mrs. I. U. Eze, and Mrs. Judith Idahosa, I thank you for your commitment, support and cooperation. I also appreciate Mrs. Patricia Akhimien, former Executive Officer,</w:t>
      </w:r>
      <w:r>
        <w:rPr>
          <w:rFonts w:cs="Times New Roman"/>
          <w:szCs w:val="24"/>
        </w:rPr>
        <w:t xml:space="preserve"> Mr. Imobighe, Samuel, former Assistant Registrar</w:t>
      </w:r>
      <w:r>
        <w:rPr>
          <w:rFonts w:eastAsia="Times New Roman" w:cs="Times New Roman"/>
          <w:szCs w:val="24"/>
        </w:rPr>
        <w:t xml:space="preserve"> and Mrs. Grace A. Unubun-Aikhegbe, the dependable former Faculty Officer. The work of a university does not happen only in lecture theatres, seminar rooms, laboratories, or offices occupied by academic staff. Institutions function because many people, often outside the spotlight, do their work faithfully every day. I recognise and appreciate your contribution.</w:t>
      </w:r>
    </w:p>
    <w:p w14:paraId="651C8113">
      <w:pPr>
        <w:spacing w:before="100" w:beforeAutospacing="1" w:after="100" w:afterAutospacing="1" w:line="240" w:lineRule="auto"/>
        <w:jc w:val="both"/>
        <w:rPr>
          <w:rFonts w:eastAsia="Times New Roman" w:cs="Times New Roman"/>
          <w:szCs w:val="24"/>
        </w:rPr>
      </w:pPr>
      <w:r>
        <w:rPr>
          <w:rFonts w:eastAsia="Times New Roman" w:cs="Times New Roman"/>
          <w:szCs w:val="24"/>
        </w:rPr>
        <w:t>To the students of the faculty, both past and present, I say thank you. A teacher may enter a classroom believing that he is there to teach, but every experienced teacher eventually discovers that teaching is also an act of learning. Your questions have challenged me. Your curiosity has kept me thinking. Your difficulties have reminded me that knowledge must be communicated with patience. Your successes have given me joy. Some of you have graduated and moved into different professions. Others are still on the journey. Wherever life takes you, I hope you will remember that education is not simply about acquiring certificates; it is about acquiring the capacity to think, to question, to create, to serve, and to make a difference. I am grateful that our paths crossed.</w:t>
      </w:r>
    </w:p>
    <w:p w14:paraId="1190AD0B">
      <w:pPr>
        <w:spacing w:before="100" w:beforeAutospacing="1" w:after="100" w:afterAutospacing="1" w:line="240" w:lineRule="auto"/>
        <w:jc w:val="both"/>
        <w:rPr>
          <w:rFonts w:eastAsia="Times New Roman" w:cs="Times New Roman"/>
          <w:szCs w:val="24"/>
        </w:rPr>
      </w:pPr>
      <w:r>
        <w:rPr>
          <w:rFonts w:eastAsia="Times New Roman" w:cs="Times New Roman"/>
          <w:szCs w:val="24"/>
        </w:rPr>
        <w:t>I also pause to remember my teachers and mentors, particularly Professor T. O. Asaolu, Professor K. O. Osotimenhin, Professor Don Baridam, and Professor C. C. Nwachukwu. Every scholar stands on the shoulders of others. Whatever scholarship I have attained did not begin with me. It was nurtured by teachers who gave their knowledge freely, mentors who offered counsel, and academics whose own lives demonstrated what intellectual discipline and professional commitment could achieve. Your lessons extended beyond what was written in books. You taught by your scholarship, by your conduct, by your expectations, and by the standards you set. I remain deeply grateful.</w:t>
      </w:r>
    </w:p>
    <w:p w14:paraId="764B4221">
      <w:pPr>
        <w:spacing w:before="100" w:beforeAutospacing="1" w:after="100" w:afterAutospacing="1" w:line="240" w:lineRule="auto"/>
        <w:jc w:val="both"/>
        <w:rPr>
          <w:rFonts w:eastAsia="Times New Roman" w:cs="Times New Roman"/>
          <w:szCs w:val="24"/>
        </w:rPr>
      </w:pPr>
      <w:r>
        <w:rPr>
          <w:rFonts w:eastAsia="Times New Roman" w:cs="Times New Roman"/>
          <w:szCs w:val="24"/>
        </w:rPr>
        <w:t>I also appreciate my fellow Deans, my friends, brothers, professional associates, and comrades within and outside Ambrose Alli University. To those with whom I have shared offices, committees, conferences, meetings, difficult assignments, moments of laughter, moments of disagreement, and moments of celebration, I thank you.</w:t>
      </w:r>
    </w:p>
    <w:p w14:paraId="2C7E1FA2">
      <w:pPr>
        <w:spacing w:before="100" w:beforeAutospacing="1" w:after="100" w:afterAutospacing="1" w:line="240" w:lineRule="auto"/>
        <w:jc w:val="both"/>
        <w:rPr>
          <w:rFonts w:eastAsia="Times New Roman" w:cs="Times New Roman"/>
          <w:szCs w:val="24"/>
        </w:rPr>
      </w:pPr>
      <w:r>
        <w:rPr>
          <w:rFonts w:eastAsia="Times New Roman" w:cs="Times New Roman"/>
          <w:szCs w:val="24"/>
        </w:rPr>
        <w:t>I particularly remember with appreciation those with whom I shared memorable experiences while serving as Treasurer of AAULWA. Professor L. Igbafen, Professor M. Omohan, Professor S. Ighalo, Professor V. Okojie, Dr. C. O. Onogbosele, Dr. W. Odion, Professor A. A. Aizebioje-Coker, Professor (Mrs) F. E. Aikpaida, Professor (Mrs) E. C. Osimen, Dr. R. I. Oghuma, Comrade James Babatunde, Professor E. E. Idialu, Dr (Mrs) R. O. Ehiemua, Dr. P. Omonzejie and Evang. L. E. Ebhodaghe.</w:t>
      </w:r>
    </w:p>
    <w:p w14:paraId="646B5F46">
      <w:pPr>
        <w:spacing w:before="100" w:beforeAutospacing="1" w:after="100" w:afterAutospacing="1" w:line="240" w:lineRule="auto"/>
        <w:jc w:val="both"/>
        <w:rPr>
          <w:rFonts w:eastAsia="Times New Roman" w:cs="Times New Roman"/>
          <w:szCs w:val="24"/>
        </w:rPr>
      </w:pPr>
      <w:r>
        <w:rPr>
          <w:rFonts w:eastAsia="Times New Roman" w:cs="Times New Roman"/>
          <w:szCs w:val="24"/>
        </w:rPr>
        <w:t>Esan Staff Forum AAUE, my people my people, thank you for your support, encouragement, prayers and for standing by me.</w:t>
      </w:r>
    </w:p>
    <w:p w14:paraId="4034E29A">
      <w:pPr>
        <w:spacing w:before="100" w:beforeAutospacing="1" w:after="100" w:afterAutospacing="1" w:line="240" w:lineRule="auto"/>
        <w:jc w:val="both"/>
        <w:rPr>
          <w:rFonts w:eastAsia="Times New Roman" w:cs="Times New Roman"/>
          <w:szCs w:val="24"/>
        </w:rPr>
      </w:pPr>
      <w:r>
        <w:rPr>
          <w:rFonts w:eastAsia="Times New Roman" w:cs="Times New Roman"/>
          <w:szCs w:val="24"/>
        </w:rPr>
        <w:t>My childhood friends, Engr. Ken Eigbedion, Mr. Ken Oboh, and Dr. O. J. Erhabor, are appreciated for being good friends over the years. Dr. Andrew Eigbedion is a good and well cultured friend, over the years, thank you. Friendship is one of life's quiet gifts. It is not always dramatic. Sometimes it is simply knowing that someone will answer the phone, offer an honest opinion, lend a hand, make a difficult day lighter, or stand beside you when things do not go according to plan. To all my friends and associates, I am grateful.</w:t>
      </w:r>
    </w:p>
    <w:p w14:paraId="47E5F61A">
      <w:pPr>
        <w:spacing w:before="100" w:beforeAutospacing="1" w:after="100" w:afterAutospacing="1" w:line="240" w:lineRule="auto"/>
        <w:jc w:val="both"/>
        <w:rPr>
          <w:rFonts w:eastAsia="Times New Roman" w:cs="Times New Roman"/>
          <w:szCs w:val="24"/>
        </w:rPr>
      </w:pPr>
      <w:r>
        <w:rPr>
          <w:rFonts w:eastAsia="Times New Roman" w:cs="Times New Roman"/>
          <w:szCs w:val="24"/>
        </w:rPr>
        <w:t>And then, there is family. This is the part of these acknowledgements that is perhaps most difficult for me because words seem inadequate. I acknowledge my wife, Mrs. F. H. Ikharehon; my children, Engr. Neri K. O. Idialu, Eliana Idialu, and Elyon Idialu; my father, Mr. B. I. Okosun; my siblings (Mrs. B. Okpeodua, Mrs G. O. Etamobe, Mr. Ehis Ikharehon, Ms F. Okosun, Dr. G. Okosun and Mrs J. I. Eghonghon), and extended family; my in-laws, Rev. Charles and Pastor (Mrs.) Onyibe, Ven Godwin Elakhe Okpeodua, and Mr. P. Eghonghon.  My family, you have lived this journey with me. You have seen the side of academic life that the public rarely sees. You have seen the long nights, the unfinished conversations, the hurried departures, the meetings that ran late, the papers that needed attention, the administrative responsibilities that followed me home, and the many occasions when the demands of the University competed with the demands of family life. You have waited for me. You have adjusted plans for me. You encouraged me when I was tired. You have prayed for me when there was little else you could do. You have celebrated my achievements, but you have also carried some of the cost of those achievements. For every missed family moment, every postponed engagement, every evening when work came first, every sacrifice made quietly and without complaint, I say thank you.</w:t>
      </w:r>
    </w:p>
    <w:p w14:paraId="5C1F1A36">
      <w:pPr>
        <w:spacing w:before="100" w:beforeAutospacing="1" w:after="100" w:afterAutospacing="1" w:line="240" w:lineRule="auto"/>
        <w:jc w:val="both"/>
        <w:rPr>
          <w:rFonts w:eastAsia="Times New Roman" w:cs="Times New Roman"/>
          <w:szCs w:val="24"/>
        </w:rPr>
      </w:pPr>
      <w:r>
        <w:rPr>
          <w:rFonts w:eastAsia="Times New Roman" w:cs="Times New Roman"/>
          <w:szCs w:val="24"/>
        </w:rPr>
        <w:t>To my wife, thank you for walking this road with me. To my children, thank you for understanding that your father sometimes had to give his time to responsibilities beyond the walls of our home. I hope that, when you look back on this journey, you will see not only the sacrifices it required but also the values behind them — discipline, perseverance, service, integrity, and faith.</w:t>
      </w:r>
    </w:p>
    <w:p w14:paraId="303D707F">
      <w:pPr>
        <w:spacing w:before="100" w:beforeAutospacing="1" w:after="100" w:afterAutospacing="1" w:line="240" w:lineRule="auto"/>
        <w:jc w:val="both"/>
        <w:rPr>
          <w:rFonts w:eastAsia="Times New Roman" w:cs="Times New Roman"/>
          <w:szCs w:val="24"/>
        </w:rPr>
      </w:pPr>
      <w:r>
        <w:rPr>
          <w:rFonts w:eastAsia="Times New Roman" w:cs="Times New Roman"/>
          <w:szCs w:val="24"/>
        </w:rPr>
        <w:t>To my father, my siblings, my extended family, and my in-laws, thank you for standing with me and for making this journey a shared family experience. Whatever success I celebrate today is not mine alone. In many ways, it belongs to you.</w:t>
      </w:r>
    </w:p>
    <w:p w14:paraId="40117AAC">
      <w:pPr>
        <w:spacing w:before="100" w:beforeAutospacing="1" w:after="100" w:afterAutospacing="1" w:line="240" w:lineRule="auto"/>
        <w:jc w:val="both"/>
        <w:rPr>
          <w:rFonts w:eastAsia="Times New Roman" w:cs="Times New Roman"/>
          <w:szCs w:val="24"/>
        </w:rPr>
      </w:pPr>
      <w:r>
        <w:rPr>
          <w:rFonts w:eastAsia="Times New Roman" w:cs="Times New Roman"/>
          <w:szCs w:val="24"/>
        </w:rPr>
        <w:t>To everyone whose name I have mentioned, and to the many whose names I have not been able to mention individually, please accept my heartfelt gratitude.</w:t>
      </w:r>
    </w:p>
    <w:p w14:paraId="799BFDB6">
      <w:pPr>
        <w:spacing w:before="100" w:beforeAutospacing="1" w:after="100" w:afterAutospacing="1" w:line="240" w:lineRule="auto"/>
        <w:jc w:val="both"/>
        <w:rPr>
          <w:rFonts w:eastAsia="Times New Roman" w:cs="Times New Roman"/>
          <w:szCs w:val="24"/>
        </w:rPr>
      </w:pPr>
      <w:r>
        <w:rPr>
          <w:rFonts w:eastAsia="Times New Roman" w:cs="Times New Roman"/>
          <w:szCs w:val="24"/>
        </w:rPr>
        <w:t>As I reflect on this journey, one truth stands out clearly to me: no meaningful achievement is ever entirely an individual achievement. To every person who has contributed, in whatever way, to making this day possible, I say from the depth of my heart: thank you. May the Almighty God bless you richly, honour your sacrifices, keep your families, and reward you for every act of kindness, every prayer, every word of encouragement, and every hand extended in support.</w:t>
      </w:r>
    </w:p>
    <w:p w14:paraId="7061182A">
      <w:pPr>
        <w:spacing w:before="100" w:beforeAutospacing="1" w:after="100" w:afterAutospacing="1" w:line="240" w:lineRule="auto"/>
        <w:jc w:val="both"/>
        <w:rPr>
          <w:rFonts w:eastAsia="Times New Roman" w:cs="Times New Roman"/>
          <w:szCs w:val="24"/>
        </w:rPr>
      </w:pPr>
      <w:r>
        <w:rPr>
          <w:rFonts w:eastAsia="Times New Roman" w:cs="Times New Roman"/>
          <w:szCs w:val="24"/>
        </w:rPr>
        <w:t>And to God Almighty, who began this journey with me, sustained me through it, and has brought me to this moment, I return all the glory.</w:t>
      </w:r>
    </w:p>
    <w:p w14:paraId="57E8F692">
      <w:pPr>
        <w:spacing w:before="100" w:beforeAutospacing="1" w:after="100" w:afterAutospacing="1" w:line="240" w:lineRule="auto"/>
        <w:jc w:val="both"/>
        <w:rPr>
          <w:rFonts w:eastAsia="Times New Roman" w:cs="Times New Roman"/>
          <w:szCs w:val="24"/>
        </w:rPr>
      </w:pPr>
      <w:r>
        <w:rPr>
          <w:rFonts w:eastAsia="Times New Roman" w:cs="Times New Roman"/>
          <w:szCs w:val="24"/>
        </w:rPr>
        <w:t>Thank you.</w:t>
      </w:r>
    </w:p>
    <w:p w14:paraId="1F482DDC">
      <w:pPr>
        <w:jc w:val="both"/>
        <w:rPr>
          <w:rFonts w:cs="Times New Roman"/>
          <w:szCs w:val="24"/>
        </w:rPr>
      </w:pPr>
    </w:p>
    <w:p w14:paraId="31B103EC"/>
    <w:p w14:paraId="1881C6E8">
      <w:pPr>
        <w:pStyle w:val="2"/>
        <w:spacing w:before="200" w:after="100"/>
        <w:jc w:val="both"/>
        <w:rPr>
          <w:rFonts w:ascii="Times New Roman" w:hAnsi="Times New Roman" w:cs="Times New Roman"/>
          <w:color w:val="auto"/>
          <w:sz w:val="24"/>
          <w:szCs w:val="24"/>
        </w:rPr>
      </w:pPr>
    </w:p>
    <w:p w14:paraId="50103609">
      <w:pPr>
        <w:pStyle w:val="2"/>
        <w:spacing w:before="200" w:after="100"/>
        <w:jc w:val="both"/>
        <w:rPr>
          <w:rFonts w:ascii="Times New Roman" w:hAnsi="Times New Roman" w:cs="Times New Roman"/>
          <w:color w:val="auto"/>
          <w:sz w:val="24"/>
          <w:szCs w:val="24"/>
        </w:rPr>
      </w:pPr>
    </w:p>
    <w:p w14:paraId="2B97577F">
      <w:pPr>
        <w:pStyle w:val="2"/>
        <w:spacing w:before="200" w:after="100"/>
        <w:jc w:val="both"/>
        <w:rPr>
          <w:rFonts w:ascii="Times New Roman" w:hAnsi="Times New Roman" w:cs="Times New Roman"/>
          <w:color w:val="auto"/>
          <w:sz w:val="24"/>
          <w:szCs w:val="24"/>
        </w:rPr>
      </w:pPr>
    </w:p>
    <w:p w14:paraId="0ED998E4">
      <w:pPr>
        <w:pStyle w:val="2"/>
        <w:spacing w:before="200" w:after="100"/>
        <w:jc w:val="both"/>
        <w:rPr>
          <w:rFonts w:ascii="Times New Roman" w:hAnsi="Times New Roman" w:cs="Times New Roman"/>
          <w:color w:val="auto"/>
          <w:sz w:val="24"/>
          <w:szCs w:val="24"/>
        </w:rPr>
      </w:pPr>
    </w:p>
    <w:p w14:paraId="29D25597">
      <w:pPr>
        <w:pStyle w:val="2"/>
        <w:spacing w:before="200" w:after="100"/>
        <w:jc w:val="both"/>
        <w:rPr>
          <w:rFonts w:ascii="Times New Roman" w:hAnsi="Times New Roman" w:cs="Times New Roman"/>
          <w:color w:val="auto"/>
          <w:sz w:val="24"/>
          <w:szCs w:val="24"/>
        </w:rPr>
      </w:pPr>
    </w:p>
    <w:p w14:paraId="43A25DA2">
      <w:pPr>
        <w:pStyle w:val="2"/>
        <w:spacing w:before="200" w:after="100"/>
        <w:jc w:val="both"/>
        <w:rPr>
          <w:rFonts w:ascii="Times New Roman" w:hAnsi="Times New Roman" w:cs="Times New Roman"/>
          <w:color w:val="auto"/>
          <w:sz w:val="24"/>
          <w:szCs w:val="24"/>
        </w:rPr>
      </w:pPr>
    </w:p>
    <w:p w14:paraId="53CA9C87">
      <w:pPr>
        <w:pStyle w:val="2"/>
        <w:spacing w:before="200" w:after="100"/>
        <w:jc w:val="both"/>
        <w:rPr>
          <w:rFonts w:ascii="Times New Roman" w:hAnsi="Times New Roman" w:cs="Times New Roman"/>
          <w:color w:val="auto"/>
          <w:sz w:val="24"/>
          <w:szCs w:val="24"/>
        </w:rPr>
      </w:pPr>
    </w:p>
    <w:p w14:paraId="2390A296">
      <w:pPr>
        <w:pStyle w:val="2"/>
        <w:spacing w:before="200" w:after="100"/>
        <w:jc w:val="both"/>
        <w:rPr>
          <w:rFonts w:ascii="Times New Roman" w:hAnsi="Times New Roman" w:cs="Times New Roman"/>
          <w:color w:val="auto"/>
          <w:sz w:val="24"/>
          <w:szCs w:val="24"/>
        </w:rPr>
      </w:pPr>
    </w:p>
    <w:p w14:paraId="41FE84B2">
      <w:pPr>
        <w:pStyle w:val="2"/>
        <w:spacing w:before="200" w:after="100"/>
        <w:jc w:val="both"/>
        <w:rPr>
          <w:rFonts w:ascii="Times New Roman" w:hAnsi="Times New Roman" w:cs="Times New Roman"/>
          <w:color w:val="auto"/>
          <w:sz w:val="24"/>
          <w:szCs w:val="24"/>
        </w:rPr>
      </w:pPr>
    </w:p>
    <w:p w14:paraId="0C3BE66F">
      <w:pPr>
        <w:pStyle w:val="2"/>
        <w:spacing w:before="200" w:after="100"/>
        <w:jc w:val="both"/>
        <w:rPr>
          <w:rFonts w:ascii="Times New Roman" w:hAnsi="Times New Roman" w:cs="Times New Roman"/>
          <w:color w:val="auto"/>
          <w:sz w:val="24"/>
          <w:szCs w:val="24"/>
        </w:rPr>
      </w:pPr>
    </w:p>
    <w:p w14:paraId="3CFC4482">
      <w:pPr>
        <w:pStyle w:val="2"/>
        <w:spacing w:before="200" w:after="100"/>
        <w:jc w:val="both"/>
        <w:rPr>
          <w:rFonts w:ascii="Times New Roman" w:hAnsi="Times New Roman" w:cs="Times New Roman"/>
          <w:color w:val="auto"/>
          <w:sz w:val="24"/>
          <w:szCs w:val="24"/>
        </w:rPr>
      </w:pPr>
    </w:p>
    <w:p w14:paraId="1D6FB156">
      <w:pPr>
        <w:pStyle w:val="2"/>
        <w:spacing w:before="200" w:after="100"/>
        <w:jc w:val="both"/>
        <w:rPr>
          <w:rFonts w:ascii="Times New Roman" w:hAnsi="Times New Roman" w:cs="Times New Roman"/>
          <w:color w:val="auto"/>
          <w:sz w:val="24"/>
          <w:szCs w:val="24"/>
        </w:rPr>
      </w:pPr>
    </w:p>
    <w:p w14:paraId="61339A38">
      <w:pPr>
        <w:pStyle w:val="2"/>
        <w:spacing w:before="200" w:after="100"/>
        <w:jc w:val="both"/>
        <w:rPr>
          <w:rFonts w:ascii="Times New Roman" w:hAnsi="Times New Roman" w:cs="Times New Roman"/>
          <w:color w:val="auto"/>
          <w:sz w:val="24"/>
          <w:szCs w:val="24"/>
        </w:rPr>
      </w:pPr>
    </w:p>
    <w:p w14:paraId="6E769038">
      <w:pPr>
        <w:pStyle w:val="2"/>
        <w:spacing w:before="200" w:after="100"/>
        <w:jc w:val="both"/>
        <w:rPr>
          <w:rFonts w:ascii="Times New Roman" w:hAnsi="Times New Roman" w:cs="Times New Roman"/>
          <w:color w:val="auto"/>
          <w:sz w:val="24"/>
          <w:szCs w:val="24"/>
        </w:rPr>
      </w:pPr>
    </w:p>
    <w:p w14:paraId="5082837D">
      <w:pPr>
        <w:pStyle w:val="2"/>
        <w:spacing w:before="200" w:after="100"/>
        <w:jc w:val="both"/>
        <w:rPr>
          <w:rFonts w:ascii="Times New Roman" w:hAnsi="Times New Roman" w:cs="Times New Roman"/>
          <w:color w:val="auto"/>
          <w:sz w:val="24"/>
          <w:szCs w:val="24"/>
        </w:rPr>
      </w:pPr>
    </w:p>
    <w:p w14:paraId="7305CE9E">
      <w:pPr>
        <w:pStyle w:val="2"/>
        <w:spacing w:before="200" w:after="100"/>
        <w:jc w:val="both"/>
        <w:rPr>
          <w:rFonts w:ascii="Times New Roman" w:hAnsi="Times New Roman" w:cs="Times New Roman"/>
          <w:color w:val="auto"/>
          <w:sz w:val="24"/>
          <w:szCs w:val="24"/>
        </w:rPr>
      </w:pPr>
    </w:p>
    <w:p w14:paraId="07A3ECF4">
      <w:pPr>
        <w:rPr>
          <w:rFonts w:ascii="Times New Roman" w:hAnsi="Times New Roman" w:cs="Times New Roman"/>
          <w:color w:val="auto"/>
          <w:sz w:val="24"/>
          <w:szCs w:val="24"/>
        </w:rPr>
      </w:pPr>
    </w:p>
    <w:p w14:paraId="616A14B6">
      <w:pPr>
        <w:rPr>
          <w:rFonts w:ascii="Times New Roman" w:hAnsi="Times New Roman" w:cs="Times New Roman"/>
          <w:color w:val="auto"/>
          <w:sz w:val="24"/>
          <w:szCs w:val="24"/>
        </w:rPr>
      </w:pPr>
    </w:p>
    <w:p w14:paraId="3CA1B897">
      <w:pPr>
        <w:pStyle w:val="2"/>
        <w:spacing w:before="200" w:after="100"/>
        <w:jc w:val="both"/>
        <w:rPr>
          <w:rFonts w:ascii="Times New Roman" w:hAnsi="Times New Roman" w:cs="Times New Roman"/>
          <w:color w:val="auto"/>
          <w:sz w:val="24"/>
          <w:szCs w:val="24"/>
        </w:rPr>
      </w:pPr>
    </w:p>
    <w:p w14:paraId="3C814DB2">
      <w:pPr>
        <w:pStyle w:val="2"/>
        <w:spacing w:before="200" w:after="100"/>
        <w:jc w:val="both"/>
        <w:rPr>
          <w:rFonts w:ascii="Times New Roman" w:hAnsi="Times New Roman" w:cs="Times New Roman"/>
          <w:color w:val="auto"/>
          <w:sz w:val="24"/>
          <w:szCs w:val="24"/>
        </w:rPr>
      </w:pPr>
      <w:r>
        <w:rPr>
          <w:rFonts w:ascii="Times New Roman" w:hAnsi="Times New Roman" w:cs="Times New Roman"/>
          <w:color w:val="auto"/>
          <w:sz w:val="24"/>
          <w:szCs w:val="24"/>
        </w:rPr>
        <w:t>REFERENCES</w:t>
      </w:r>
    </w:p>
    <w:p w14:paraId="0F6D0450">
      <w:pPr>
        <w:pStyle w:val="12"/>
        <w:tabs>
          <w:tab w:val="left" w:pos="220"/>
        </w:tabs>
        <w:ind w:left="810" w:hanging="810"/>
        <w:jc w:val="both"/>
      </w:pPr>
      <w:r>
        <w:t xml:space="preserve">Aguinis, H., &amp; Glavas, A. (2019). On corporate social responsibility, sensemaking, and the search for meaningfulness through work. </w:t>
      </w:r>
      <w:r>
        <w:rPr>
          <w:rStyle w:val="8"/>
          <w:rFonts w:eastAsiaTheme="majorEastAsia"/>
        </w:rPr>
        <w:t>Journal of Management, 45</w:t>
      </w:r>
      <w:r>
        <w:t>(3), 1057–1086.</w:t>
      </w:r>
    </w:p>
    <w:p w14:paraId="410EC5EA">
      <w:pPr>
        <w:spacing w:after="120"/>
        <w:ind w:left="810" w:hanging="810"/>
        <w:jc w:val="both"/>
        <w:rPr>
          <w:rFonts w:cs="Times New Roman"/>
          <w:szCs w:val="24"/>
        </w:rPr>
      </w:pPr>
      <w:r>
        <w:rPr>
          <w:rFonts w:cs="Times New Roman"/>
          <w:szCs w:val="24"/>
        </w:rPr>
        <w:t>Bowen, H. R. (1953). Social Responsibilities of the Businessman. Harper &amp; Row.</w:t>
      </w:r>
    </w:p>
    <w:p w14:paraId="6ECB7B18">
      <w:pPr>
        <w:spacing w:after="120"/>
        <w:ind w:left="810" w:hanging="810"/>
        <w:jc w:val="both"/>
        <w:rPr>
          <w:rFonts w:cs="Times New Roman"/>
          <w:szCs w:val="24"/>
        </w:rPr>
      </w:pPr>
      <w:r>
        <w:rPr>
          <w:rFonts w:cs="Times New Roman"/>
          <w:szCs w:val="24"/>
        </w:rPr>
        <w:t>Carroll, A. B. (2021). Corporate social responsibility: Perspectives on the CSR construct’s development and future. Business &amp; Society, 60(6), 1258–1278.</w:t>
      </w:r>
    </w:p>
    <w:p w14:paraId="0F3E46CD">
      <w:pPr>
        <w:spacing w:after="120"/>
        <w:ind w:left="810" w:hanging="810"/>
        <w:jc w:val="both"/>
        <w:rPr>
          <w:rFonts w:cs="Times New Roman"/>
          <w:szCs w:val="24"/>
        </w:rPr>
      </w:pPr>
      <w:r>
        <w:rPr>
          <w:rFonts w:cs="Times New Roman"/>
          <w:szCs w:val="24"/>
        </w:rPr>
        <w:t>Elkington, J. (1997). Cannibals with Forks: The Triple Bottom Line of 21st Century Business. Capstone.</w:t>
      </w:r>
    </w:p>
    <w:p w14:paraId="632EDC58">
      <w:pPr>
        <w:spacing w:after="120"/>
        <w:ind w:left="810" w:hanging="810"/>
        <w:jc w:val="both"/>
        <w:rPr>
          <w:rFonts w:cs="Times New Roman"/>
          <w:szCs w:val="24"/>
        </w:rPr>
      </w:pPr>
      <w:r>
        <w:rPr>
          <w:rFonts w:cs="Times New Roman"/>
          <w:szCs w:val="24"/>
        </w:rPr>
        <w:t>Etzkowitz, H., &amp; Zhou, C. (2018). The Triple Helix: University–Industry–Government Innovation and Entrepreneurship (2nd ed.). Routledge.</w:t>
      </w:r>
    </w:p>
    <w:p w14:paraId="0B9E189A">
      <w:pPr>
        <w:pStyle w:val="12"/>
        <w:tabs>
          <w:tab w:val="left" w:pos="220"/>
        </w:tabs>
        <w:ind w:left="810" w:hanging="810"/>
      </w:pPr>
      <w:r>
        <w:t xml:space="preserve">Food and Agriculture Organization of the United Nations, International Fund for Agricultural Development, UNICEF, World Food Programme, &amp; World Health Organization. (2024). </w:t>
      </w:r>
      <w:r>
        <w:rPr>
          <w:rStyle w:val="8"/>
          <w:rFonts w:eastAsiaTheme="majorEastAsia"/>
        </w:rPr>
        <w:t>The State of Food Security and Nutrition in the World 2024</w:t>
      </w:r>
      <w:r>
        <w:t>. FAO.</w:t>
      </w:r>
    </w:p>
    <w:p w14:paraId="17C80CD0">
      <w:pPr>
        <w:spacing w:after="120"/>
        <w:ind w:left="810" w:hanging="810"/>
        <w:jc w:val="both"/>
        <w:rPr>
          <w:rFonts w:cs="Times New Roman"/>
          <w:szCs w:val="24"/>
        </w:rPr>
      </w:pPr>
      <w:r>
        <w:rPr>
          <w:rFonts w:cs="Times New Roman"/>
          <w:szCs w:val="24"/>
        </w:rPr>
        <w:t>Freeman, R. E. (1984). Strategic Management: A Stakeholder Approach. Pitman.</w:t>
      </w:r>
    </w:p>
    <w:p w14:paraId="70A0502A">
      <w:pPr>
        <w:spacing w:after="120"/>
        <w:ind w:left="810" w:hanging="810"/>
        <w:jc w:val="both"/>
        <w:rPr>
          <w:rFonts w:cs="Times New Roman"/>
          <w:szCs w:val="24"/>
        </w:rPr>
      </w:pPr>
      <w:r>
        <w:rPr>
          <w:rFonts w:cs="Times New Roman"/>
          <w:szCs w:val="24"/>
        </w:rPr>
        <w:t>Freeman, R. E., Dmytriyev, S., &amp; Phillips, R. A. (2020). Stakeholder theory and the resource-based view of the firm. Journal of Management, 46(7), 1200–1220.</w:t>
      </w:r>
    </w:p>
    <w:p w14:paraId="51305BD6">
      <w:pPr>
        <w:spacing w:after="120"/>
        <w:ind w:left="810" w:hanging="810"/>
        <w:jc w:val="both"/>
        <w:rPr>
          <w:rFonts w:cs="Times New Roman"/>
          <w:szCs w:val="24"/>
        </w:rPr>
      </w:pPr>
      <w:r>
        <w:rPr>
          <w:rFonts w:cs="Times New Roman"/>
          <w:szCs w:val="24"/>
        </w:rPr>
        <w:t>Friedman, M. (1970). The social responsibility of business is to increase its profits. The New York Times Magazine.</w:t>
      </w:r>
    </w:p>
    <w:p w14:paraId="38541AE8">
      <w:pPr>
        <w:spacing w:before="100" w:beforeAutospacing="1" w:after="100" w:afterAutospacing="1" w:line="240" w:lineRule="auto"/>
        <w:ind w:left="810" w:hanging="810"/>
        <w:jc w:val="both"/>
        <w:rPr>
          <w:rFonts w:eastAsia="Times New Roman" w:cs="Times New Roman"/>
          <w:szCs w:val="24"/>
        </w:rPr>
      </w:pPr>
      <w:r>
        <w:rPr>
          <w:rFonts w:eastAsia="Times New Roman" w:cs="Times New Roman"/>
          <w:szCs w:val="24"/>
        </w:rPr>
        <w:t xml:space="preserve">Ikharehon, J. I. (2014). The Impact of Corporate Social Responsibility on Firms Profitability in Nigeria: A Study of Selected Quoted Firms from 2003-2012. </w:t>
      </w:r>
      <w:r>
        <w:rPr>
          <w:rFonts w:eastAsia="Times New Roman" w:cs="Times New Roman"/>
          <w:i/>
          <w:iCs/>
          <w:szCs w:val="24"/>
        </w:rPr>
        <w:t xml:space="preserve">International Journal of Management Studies, </w:t>
      </w:r>
      <w:r>
        <w:rPr>
          <w:rFonts w:eastAsia="Times New Roman" w:cs="Times New Roman"/>
          <w:szCs w:val="24"/>
        </w:rPr>
        <w:t>Vol. 1, Issue 1, June, p. 22-30</w:t>
      </w:r>
    </w:p>
    <w:p w14:paraId="0D9918F7">
      <w:pPr>
        <w:spacing w:before="100" w:beforeAutospacing="1" w:after="100" w:afterAutospacing="1" w:line="240" w:lineRule="auto"/>
        <w:ind w:left="810" w:hanging="810"/>
        <w:jc w:val="both"/>
        <w:rPr>
          <w:rFonts w:eastAsia="Times New Roman" w:cs="Times New Roman"/>
          <w:szCs w:val="24"/>
        </w:rPr>
      </w:pPr>
      <w:r>
        <w:rPr>
          <w:rFonts w:eastAsia="Times New Roman" w:cs="Times New Roman"/>
          <w:szCs w:val="24"/>
        </w:rPr>
        <w:t xml:space="preserve">Ikharehon, J. I., and Osotimehin, K. O. (2012). An Examination of the Corporate Social Responsibility (CSR) Activities Among Nigerian Firms. </w:t>
      </w:r>
      <w:r>
        <w:rPr>
          <w:rFonts w:eastAsia="Times New Roman" w:cs="Times New Roman"/>
          <w:i/>
          <w:iCs/>
          <w:szCs w:val="24"/>
        </w:rPr>
        <w:t xml:space="preserve">AAU Journal of Management Sciences. </w:t>
      </w:r>
      <w:r>
        <w:rPr>
          <w:rFonts w:eastAsia="Times New Roman" w:cs="Times New Roman"/>
          <w:szCs w:val="24"/>
        </w:rPr>
        <w:t>Volume 2, No. 1, June, p. 123-138</w:t>
      </w:r>
    </w:p>
    <w:p w14:paraId="455F77AC">
      <w:pPr>
        <w:spacing w:before="100" w:beforeAutospacing="1" w:after="100" w:afterAutospacing="1" w:line="240" w:lineRule="auto"/>
        <w:ind w:left="810" w:hanging="810"/>
        <w:jc w:val="both"/>
        <w:rPr>
          <w:rFonts w:eastAsia="Times New Roman" w:cs="Times New Roman"/>
          <w:szCs w:val="24"/>
        </w:rPr>
      </w:pPr>
      <w:r>
        <w:rPr>
          <w:rFonts w:eastAsia="Times New Roman" w:cs="Times New Roman"/>
          <w:szCs w:val="24"/>
        </w:rPr>
        <w:t xml:space="preserve">Ikharehon, J. I. (2018). </w:t>
      </w:r>
      <w:r>
        <w:rPr>
          <w:rFonts w:eastAsia="Times New Roman" w:cs="Times New Roman"/>
          <w:i/>
          <w:iCs/>
          <w:szCs w:val="24"/>
        </w:rPr>
        <w:t xml:space="preserve">Corporate Social Responsibility and the Performance of Selected Quoted Firms in Nigeria from 2000-2009. </w:t>
      </w:r>
      <w:r>
        <w:rPr>
          <w:rFonts w:eastAsia="Times New Roman" w:cs="Times New Roman"/>
          <w:szCs w:val="24"/>
        </w:rPr>
        <w:t>PhD Thesis. Mauritius: Lap Lambert Academic Publishing</w:t>
      </w:r>
    </w:p>
    <w:p w14:paraId="473FEEE4">
      <w:pPr>
        <w:spacing w:after="120"/>
        <w:ind w:left="810" w:hanging="810"/>
        <w:jc w:val="both"/>
        <w:rPr>
          <w:rFonts w:cs="Times New Roman"/>
          <w:szCs w:val="24"/>
        </w:rPr>
      </w:pPr>
      <w:r>
        <w:rPr>
          <w:rFonts w:cs="Times New Roman"/>
          <w:szCs w:val="24"/>
        </w:rPr>
        <w:t>Ikharehon, J. I. (2025). Business Policy and Strategic Management: Theory and Practice with Nigerian Applications. Ekpoma: Cynnos Printing Press.</w:t>
      </w:r>
    </w:p>
    <w:p w14:paraId="7ABC8BF9">
      <w:pPr>
        <w:spacing w:after="120"/>
        <w:ind w:left="810" w:hanging="810"/>
        <w:jc w:val="both"/>
        <w:rPr>
          <w:rFonts w:cs="Times New Roman"/>
          <w:szCs w:val="24"/>
        </w:rPr>
      </w:pPr>
      <w:r>
        <w:rPr>
          <w:rFonts w:cs="Times New Roman"/>
          <w:szCs w:val="24"/>
        </w:rPr>
        <w:t>International Monetary Fund. (2024). Nigeria: 2024 Article IV Consultation—Staff Report. IMF.</w:t>
      </w:r>
    </w:p>
    <w:p w14:paraId="2E52C5EC">
      <w:pPr>
        <w:spacing w:after="120"/>
        <w:ind w:left="810" w:hanging="810"/>
        <w:jc w:val="both"/>
        <w:rPr>
          <w:rFonts w:cs="Times New Roman"/>
          <w:szCs w:val="24"/>
        </w:rPr>
      </w:pPr>
      <w:r>
        <w:rPr>
          <w:rFonts w:cs="Times New Roman"/>
          <w:szCs w:val="24"/>
        </w:rPr>
        <w:t>Manufacturers Association of Nigeria. (2024). MAN, Economic Review (Second Half 2024). Lagos: Manufacturers Association of Nigeria.</w:t>
      </w:r>
    </w:p>
    <w:p w14:paraId="148177A7">
      <w:pPr>
        <w:spacing w:after="120"/>
        <w:ind w:left="810" w:hanging="810"/>
        <w:jc w:val="both"/>
        <w:rPr>
          <w:rFonts w:cs="Times New Roman"/>
          <w:szCs w:val="24"/>
        </w:rPr>
      </w:pPr>
      <w:r>
        <w:rPr>
          <w:rFonts w:cs="Times New Roman"/>
          <w:szCs w:val="24"/>
        </w:rPr>
        <w:t>National Bureau of Statistics. (2022). Nigeria Multidimensional Poverty Index (2022). National Bureau of Statistics.</w:t>
      </w:r>
    </w:p>
    <w:p w14:paraId="45D8016F">
      <w:pPr>
        <w:spacing w:after="120"/>
        <w:ind w:left="810" w:hanging="810"/>
        <w:jc w:val="both"/>
        <w:rPr>
          <w:rFonts w:cs="Times New Roman"/>
          <w:szCs w:val="24"/>
        </w:rPr>
      </w:pPr>
      <w:r>
        <w:rPr>
          <w:rFonts w:cs="Times New Roman"/>
          <w:szCs w:val="24"/>
        </w:rPr>
        <w:t>National Bureau of Statistics. (2024). Nigerian Gross Domestic Product Report (Quarterly). National Bureau of Statistics.</w:t>
      </w:r>
    </w:p>
    <w:p w14:paraId="61172DFE">
      <w:pPr>
        <w:spacing w:after="120"/>
        <w:ind w:left="810" w:hanging="810"/>
        <w:jc w:val="both"/>
        <w:rPr>
          <w:rFonts w:cs="Times New Roman"/>
          <w:szCs w:val="24"/>
        </w:rPr>
      </w:pPr>
      <w:r>
        <w:rPr>
          <w:rFonts w:cs="Times New Roman"/>
          <w:szCs w:val="24"/>
        </w:rPr>
        <w:t>National Pension Commission. (2024). Annual Report 2024. PenCom.</w:t>
      </w:r>
    </w:p>
    <w:p w14:paraId="514C4E93">
      <w:pPr>
        <w:spacing w:after="120"/>
        <w:ind w:left="810" w:hanging="810"/>
        <w:jc w:val="both"/>
        <w:rPr>
          <w:rFonts w:cs="Times New Roman"/>
          <w:szCs w:val="24"/>
        </w:rPr>
      </w:pPr>
      <w:r>
        <w:rPr>
          <w:rFonts w:cs="Times New Roman"/>
          <w:szCs w:val="24"/>
        </w:rPr>
        <w:t>Nigerian Communications Commission. (2024). 2024 Subscriber/Network Data Report. NCC.</w:t>
      </w:r>
    </w:p>
    <w:p w14:paraId="03F9F0EB">
      <w:pPr>
        <w:spacing w:after="120"/>
        <w:ind w:left="810" w:hanging="810"/>
        <w:jc w:val="both"/>
        <w:rPr>
          <w:rFonts w:cs="Times New Roman"/>
          <w:szCs w:val="24"/>
        </w:rPr>
      </w:pPr>
      <w:r>
        <w:rPr>
          <w:rFonts w:cs="Times New Roman"/>
          <w:szCs w:val="24"/>
        </w:rPr>
        <w:t>Organisation for Economic Co-operation and Development. (2024). G20/OECD Principles of Corporate Governance. OECD Publishing.</w:t>
      </w:r>
    </w:p>
    <w:p w14:paraId="4EDE3B92">
      <w:pPr>
        <w:spacing w:after="120"/>
        <w:ind w:left="810" w:hanging="810"/>
        <w:jc w:val="both"/>
        <w:rPr>
          <w:rFonts w:cs="Times New Roman"/>
          <w:szCs w:val="24"/>
        </w:rPr>
      </w:pPr>
      <w:r>
        <w:rPr>
          <w:rFonts w:cs="Times New Roman"/>
          <w:szCs w:val="24"/>
        </w:rPr>
        <w:t>Scott, W. R. (2014). Institutions and Organizations: Ideas, Interests, and Identities (4th ed.). Sage.</w:t>
      </w:r>
    </w:p>
    <w:p w14:paraId="69535233">
      <w:pPr>
        <w:pStyle w:val="12"/>
        <w:tabs>
          <w:tab w:val="left" w:pos="220"/>
        </w:tabs>
        <w:ind w:left="810" w:hanging="810"/>
      </w:pPr>
      <w:r>
        <w:t xml:space="preserve">Soludo, Charles Chukwuma. (2004). </w:t>
      </w:r>
      <w:r>
        <w:rPr>
          <w:rStyle w:val="8"/>
          <w:rFonts w:eastAsiaTheme="majorEastAsia"/>
        </w:rPr>
        <w:t>Consolidating the Nigerian banking industry to meet the development challenges of the 21st century</w:t>
      </w:r>
      <w:r>
        <w:t>. Address delivered at the Special Meeting of the Bankers' Committee, Abuja, July 6, 2004.</w:t>
      </w:r>
    </w:p>
    <w:p w14:paraId="3EA03352">
      <w:pPr>
        <w:spacing w:after="120"/>
        <w:ind w:left="810" w:hanging="810"/>
        <w:jc w:val="both"/>
        <w:rPr>
          <w:rFonts w:cs="Times New Roman"/>
          <w:szCs w:val="24"/>
        </w:rPr>
      </w:pPr>
      <w:r>
        <w:rPr>
          <w:rFonts w:cs="Times New Roman"/>
          <w:szCs w:val="24"/>
        </w:rPr>
        <w:t>Suchman, M. C. (1995). Managing legitimacy: Strategic and institutional approaches. Academy of Management Review, 20(3), 571–610.</w:t>
      </w:r>
    </w:p>
    <w:p w14:paraId="22DD9E1E">
      <w:pPr>
        <w:spacing w:after="120"/>
        <w:ind w:left="810" w:hanging="810"/>
        <w:jc w:val="both"/>
        <w:rPr>
          <w:rFonts w:cs="Times New Roman"/>
          <w:szCs w:val="24"/>
        </w:rPr>
      </w:pPr>
      <w:r>
        <w:rPr>
          <w:rFonts w:cs="Times New Roman"/>
          <w:szCs w:val="24"/>
        </w:rPr>
        <w:t>Tertiary Education Trust Fund. (2024). Annual Report and Statement of Accounts 2024. Abuja: TETFund.</w:t>
      </w:r>
    </w:p>
    <w:p w14:paraId="2B07A9C2">
      <w:pPr>
        <w:spacing w:after="120"/>
        <w:ind w:left="810" w:hanging="810"/>
        <w:jc w:val="both"/>
        <w:rPr>
          <w:rFonts w:cs="Times New Roman"/>
          <w:szCs w:val="24"/>
        </w:rPr>
      </w:pPr>
      <w:r>
        <w:rPr>
          <w:rFonts w:cs="Times New Roman"/>
          <w:szCs w:val="24"/>
        </w:rPr>
        <w:t>Transparency International. (2025). Corruption Perceptions Index 2024. Transparency International.</w:t>
      </w:r>
    </w:p>
    <w:p w14:paraId="60084E8B">
      <w:pPr>
        <w:spacing w:after="120"/>
        <w:ind w:left="810" w:hanging="810"/>
        <w:jc w:val="both"/>
        <w:rPr>
          <w:rFonts w:cs="Times New Roman"/>
          <w:szCs w:val="24"/>
        </w:rPr>
      </w:pPr>
      <w:r>
        <w:rPr>
          <w:rFonts w:cs="Times New Roman"/>
          <w:szCs w:val="24"/>
        </w:rPr>
        <w:t>United Nations Development Programme. (2024). Human Development Report 2023/2024: Breaking the Gridlock—Reimagining Cooperation in a Polarized World. UNDP.</w:t>
      </w:r>
    </w:p>
    <w:p w14:paraId="30A6E485">
      <w:pPr>
        <w:spacing w:after="120"/>
        <w:ind w:left="810" w:hanging="810"/>
        <w:jc w:val="both"/>
        <w:rPr>
          <w:rFonts w:cs="Times New Roman"/>
          <w:szCs w:val="24"/>
        </w:rPr>
      </w:pPr>
      <w:r>
        <w:rPr>
          <w:rFonts w:cs="Times New Roman"/>
          <w:szCs w:val="24"/>
        </w:rPr>
        <w:t>World Bank. (2024). Nigeria Development Update 2024. World Bank.</w:t>
      </w:r>
    </w:p>
    <w:p w14:paraId="6BEBF69E">
      <w:pPr>
        <w:spacing w:after="120"/>
        <w:jc w:val="both"/>
        <w:rPr>
          <w:rFonts w:cs="Times New Roman"/>
          <w:szCs w:val="24"/>
        </w:rPr>
      </w:pPr>
    </w:p>
    <w:p w14:paraId="6D158D15">
      <w:pPr>
        <w:jc w:val="both"/>
        <w:rPr>
          <w:rFonts w:cs="Times New Roman"/>
          <w:szCs w:val="24"/>
        </w:rPr>
      </w:pPr>
    </w:p>
    <w:p w14:paraId="1BA9B3FF">
      <w:pPr>
        <w:jc w:val="both"/>
        <w:rPr>
          <w:rFonts w:cs="Times New Roman"/>
          <w:szCs w:val="24"/>
        </w:rPr>
      </w:pPr>
    </w:p>
    <w:p w14:paraId="18F2FFBF">
      <w:pPr>
        <w:jc w:val="both"/>
        <w:rPr>
          <w:rFonts w:cs="Times New Roman"/>
          <w:szCs w:val="24"/>
        </w:rPr>
      </w:pPr>
    </w:p>
    <w:p w14:paraId="59DCEBC8">
      <w:pPr>
        <w:jc w:val="both"/>
        <w:rPr>
          <w:rFonts w:cs="Times New Roman"/>
          <w:szCs w:val="24"/>
        </w:rPr>
      </w:pPr>
    </w:p>
    <w:p w14:paraId="55C73907">
      <w:pPr>
        <w:jc w:val="both"/>
        <w:rPr>
          <w:rFonts w:cs="Times New Roman"/>
          <w:szCs w:val="24"/>
        </w:rPr>
      </w:pPr>
    </w:p>
    <w:p w14:paraId="749352DB">
      <w:pPr>
        <w:jc w:val="both"/>
        <w:rPr>
          <w:rFonts w:cs="Times New Roman"/>
          <w:szCs w:val="24"/>
        </w:rPr>
      </w:pPr>
    </w:p>
    <w:p w14:paraId="41D39089">
      <w:pPr>
        <w:jc w:val="both"/>
        <w:rPr>
          <w:rFonts w:cs="Times New Roman"/>
          <w:szCs w:val="24"/>
        </w:rPr>
      </w:pPr>
    </w:p>
    <w:p w14:paraId="3913F67E">
      <w:pPr>
        <w:jc w:val="both"/>
        <w:rPr>
          <w:rFonts w:cs="Times New Roman"/>
          <w:szCs w:val="24"/>
        </w:rPr>
      </w:pPr>
    </w:p>
    <w:p w14:paraId="43F95F39">
      <w:pPr>
        <w:jc w:val="both"/>
        <w:rPr>
          <w:rFonts w:cs="Times New Roman"/>
          <w:szCs w:val="24"/>
        </w:rPr>
      </w:pPr>
    </w:p>
    <w:p w14:paraId="392FA74E">
      <w:pPr>
        <w:jc w:val="center"/>
        <w:rPr>
          <w:rFonts w:cs="Times New Roman"/>
          <w:b/>
          <w:bCs/>
          <w:szCs w:val="24"/>
        </w:rPr>
      </w:pPr>
      <w:r>
        <w:rPr>
          <w:rFonts w:cs="Times New Roman"/>
          <w:b/>
          <w:bCs/>
          <w:szCs w:val="24"/>
        </w:rPr>
        <w:t>LIST OF INAUGURAL LECTURERS IN AMBROSE ALLI UNIVERSITY, EKPOMA TO DATE</w:t>
      </w:r>
    </w:p>
    <w:tbl>
      <w:tblPr>
        <w:tblStyle w:val="14"/>
        <w:tblW w:w="9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3131"/>
        <w:gridCol w:w="1549"/>
        <w:gridCol w:w="2914"/>
        <w:gridCol w:w="1226"/>
      </w:tblGrid>
      <w:tr w14:paraId="4C656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4324069">
            <w:pPr>
              <w:tabs>
                <w:tab w:val="left" w:pos="220"/>
              </w:tabs>
              <w:rPr>
                <w:rFonts w:cs="Times New Roman"/>
                <w:b/>
                <w:bCs/>
                <w:szCs w:val="24"/>
              </w:rPr>
            </w:pPr>
            <w:r>
              <w:rPr>
                <w:rFonts w:cs="Times New Roman"/>
                <w:b/>
                <w:bCs/>
                <w:szCs w:val="24"/>
              </w:rPr>
              <w:t>S/NO</w:t>
            </w:r>
          </w:p>
        </w:tc>
        <w:tc>
          <w:tcPr>
            <w:tcW w:w="3131" w:type="dxa"/>
          </w:tcPr>
          <w:p w14:paraId="46DDFD9F">
            <w:pPr>
              <w:tabs>
                <w:tab w:val="left" w:pos="220"/>
              </w:tabs>
              <w:rPr>
                <w:rFonts w:cs="Times New Roman"/>
                <w:b/>
                <w:bCs/>
                <w:szCs w:val="24"/>
              </w:rPr>
            </w:pPr>
            <w:r>
              <w:rPr>
                <w:rFonts w:cs="Times New Roman"/>
                <w:b/>
                <w:bCs/>
                <w:szCs w:val="24"/>
              </w:rPr>
              <w:t>NAME</w:t>
            </w:r>
          </w:p>
        </w:tc>
        <w:tc>
          <w:tcPr>
            <w:tcW w:w="1549" w:type="dxa"/>
          </w:tcPr>
          <w:p w14:paraId="4D5791CE">
            <w:pPr>
              <w:tabs>
                <w:tab w:val="left" w:pos="220"/>
              </w:tabs>
              <w:rPr>
                <w:rFonts w:cs="Times New Roman"/>
                <w:b/>
                <w:bCs/>
                <w:szCs w:val="24"/>
              </w:rPr>
            </w:pPr>
            <w:r>
              <w:rPr>
                <w:rFonts w:cs="Times New Roman"/>
                <w:b/>
                <w:bCs/>
                <w:szCs w:val="24"/>
              </w:rPr>
              <w:t>CHAIR</w:t>
            </w:r>
          </w:p>
        </w:tc>
        <w:tc>
          <w:tcPr>
            <w:tcW w:w="2914" w:type="dxa"/>
          </w:tcPr>
          <w:p w14:paraId="33816BE5">
            <w:pPr>
              <w:tabs>
                <w:tab w:val="left" w:pos="220"/>
              </w:tabs>
              <w:rPr>
                <w:rFonts w:cs="Times New Roman"/>
                <w:b/>
                <w:bCs/>
                <w:szCs w:val="24"/>
              </w:rPr>
            </w:pPr>
            <w:r>
              <w:rPr>
                <w:rFonts w:cs="Times New Roman"/>
                <w:b/>
                <w:bCs/>
                <w:szCs w:val="24"/>
              </w:rPr>
              <w:t>TITLE</w:t>
            </w:r>
          </w:p>
        </w:tc>
        <w:tc>
          <w:tcPr>
            <w:tcW w:w="1226" w:type="dxa"/>
          </w:tcPr>
          <w:p w14:paraId="071504CA">
            <w:pPr>
              <w:tabs>
                <w:tab w:val="left" w:pos="220"/>
              </w:tabs>
              <w:rPr>
                <w:rFonts w:cs="Times New Roman"/>
                <w:b/>
                <w:bCs/>
                <w:szCs w:val="24"/>
              </w:rPr>
            </w:pPr>
            <w:r>
              <w:rPr>
                <w:rFonts w:cs="Times New Roman"/>
                <w:b/>
                <w:bCs/>
                <w:szCs w:val="24"/>
              </w:rPr>
              <w:t>DATE</w:t>
            </w:r>
          </w:p>
        </w:tc>
      </w:tr>
      <w:tr w14:paraId="3279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625" w:type="dxa"/>
          </w:tcPr>
          <w:p w14:paraId="6A7860CE">
            <w:pPr>
              <w:tabs>
                <w:tab w:val="left" w:pos="220"/>
              </w:tabs>
              <w:rPr>
                <w:rFonts w:cs="Times New Roman"/>
              </w:rPr>
            </w:pPr>
            <w:r>
              <w:rPr>
                <w:rFonts w:cs="Times New Roman"/>
              </w:rPr>
              <w:t>1</w:t>
            </w:r>
          </w:p>
        </w:tc>
        <w:tc>
          <w:tcPr>
            <w:tcW w:w="3131" w:type="dxa"/>
          </w:tcPr>
          <w:p w14:paraId="2726BF91">
            <w:pPr>
              <w:tabs>
                <w:tab w:val="left" w:pos="220"/>
              </w:tabs>
              <w:rPr>
                <w:rFonts w:cs="Times New Roman"/>
              </w:rPr>
            </w:pPr>
            <w:r>
              <w:rPr>
                <w:rFonts w:cs="Times New Roman"/>
              </w:rPr>
              <w:t>Prof. Samuel Erivwo; PhD (Ibadan)</w:t>
            </w:r>
          </w:p>
        </w:tc>
        <w:tc>
          <w:tcPr>
            <w:tcW w:w="1549" w:type="dxa"/>
          </w:tcPr>
          <w:p w14:paraId="148FD367">
            <w:pPr>
              <w:tabs>
                <w:tab w:val="left" w:pos="220"/>
              </w:tabs>
              <w:rPr>
                <w:rFonts w:cs="Times New Roman"/>
              </w:rPr>
            </w:pPr>
            <w:r>
              <w:rPr>
                <w:rFonts w:cs="Times New Roman"/>
              </w:rPr>
              <w:t>Religion</w:t>
            </w:r>
          </w:p>
        </w:tc>
        <w:tc>
          <w:tcPr>
            <w:tcW w:w="2914" w:type="dxa"/>
          </w:tcPr>
          <w:p w14:paraId="6CADD2F5">
            <w:pPr>
              <w:tabs>
                <w:tab w:val="left" w:pos="220"/>
              </w:tabs>
              <w:rPr>
                <w:rFonts w:cs="Times New Roman"/>
              </w:rPr>
            </w:pPr>
            <w:r>
              <w:rPr>
                <w:rFonts w:cs="Times New Roman"/>
              </w:rPr>
              <w:t>A Hound of Heaven and the Children of Men (58pp)</w:t>
            </w:r>
          </w:p>
        </w:tc>
        <w:tc>
          <w:tcPr>
            <w:tcW w:w="1226" w:type="dxa"/>
          </w:tcPr>
          <w:p w14:paraId="6382F837">
            <w:pPr>
              <w:tabs>
                <w:tab w:val="left" w:pos="220"/>
              </w:tabs>
              <w:rPr>
                <w:rFonts w:cs="Times New Roman"/>
              </w:rPr>
            </w:pPr>
            <w:r>
              <w:rPr>
                <w:rFonts w:cs="Times New Roman"/>
              </w:rPr>
              <w:t>11</w:t>
            </w:r>
            <w:r>
              <w:rPr>
                <w:rFonts w:cs="Times New Roman"/>
                <w:vertAlign w:val="superscript"/>
              </w:rPr>
              <w:t>th</w:t>
            </w:r>
            <w:r>
              <w:rPr>
                <w:rFonts w:cs="Times New Roman"/>
              </w:rPr>
              <w:t xml:space="preserve"> Dec., 1987</w:t>
            </w:r>
          </w:p>
        </w:tc>
      </w:tr>
      <w:tr w14:paraId="45DD0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625" w:type="dxa"/>
          </w:tcPr>
          <w:p w14:paraId="6E20DD7A">
            <w:pPr>
              <w:tabs>
                <w:tab w:val="left" w:pos="220"/>
              </w:tabs>
              <w:rPr>
                <w:rFonts w:cs="Times New Roman"/>
              </w:rPr>
            </w:pPr>
            <w:r>
              <w:rPr>
                <w:rFonts w:cs="Times New Roman"/>
              </w:rPr>
              <w:t>2</w:t>
            </w:r>
          </w:p>
        </w:tc>
        <w:tc>
          <w:tcPr>
            <w:tcW w:w="3131" w:type="dxa"/>
          </w:tcPr>
          <w:p w14:paraId="7DDD7B31">
            <w:pPr>
              <w:tabs>
                <w:tab w:val="left" w:pos="220"/>
              </w:tabs>
              <w:rPr>
                <w:rFonts w:cs="Times New Roman"/>
              </w:rPr>
            </w:pPr>
            <w:r>
              <w:rPr>
                <w:rFonts w:cs="Times New Roman"/>
              </w:rPr>
              <w:t>Engr. Prof. A. K. Yesufu; PhD (Wales); MNSE; R. Engr (COREN)</w:t>
            </w:r>
          </w:p>
        </w:tc>
        <w:tc>
          <w:tcPr>
            <w:tcW w:w="1549" w:type="dxa"/>
          </w:tcPr>
          <w:p w14:paraId="34CBF9F7">
            <w:pPr>
              <w:tabs>
                <w:tab w:val="left" w:pos="220"/>
              </w:tabs>
              <w:rPr>
                <w:rFonts w:cs="Times New Roman"/>
              </w:rPr>
            </w:pPr>
            <w:r>
              <w:rPr>
                <w:rFonts w:cs="Times New Roman"/>
              </w:rPr>
              <w:t>Electrical and Electronics Engineering</w:t>
            </w:r>
          </w:p>
        </w:tc>
        <w:tc>
          <w:tcPr>
            <w:tcW w:w="2914" w:type="dxa"/>
          </w:tcPr>
          <w:p w14:paraId="1041599E">
            <w:pPr>
              <w:tabs>
                <w:tab w:val="left" w:pos="220"/>
              </w:tabs>
              <w:rPr>
                <w:rFonts w:cs="Times New Roman"/>
              </w:rPr>
            </w:pPr>
            <w:r>
              <w:rPr>
                <w:rFonts w:cs="Times New Roman"/>
              </w:rPr>
              <w:t>The Technologies and Application of Non-Depletable Resources (34pp)</w:t>
            </w:r>
          </w:p>
        </w:tc>
        <w:tc>
          <w:tcPr>
            <w:tcW w:w="1226" w:type="dxa"/>
          </w:tcPr>
          <w:p w14:paraId="3617B08E">
            <w:pPr>
              <w:tabs>
                <w:tab w:val="left" w:pos="220"/>
              </w:tabs>
              <w:rPr>
                <w:rFonts w:cs="Times New Roman"/>
              </w:rPr>
            </w:pPr>
            <w:r>
              <w:rPr>
                <w:rFonts w:cs="Times New Roman"/>
              </w:rPr>
              <w:t>15</w:t>
            </w:r>
            <w:r>
              <w:rPr>
                <w:rFonts w:cs="Times New Roman"/>
                <w:vertAlign w:val="superscript"/>
              </w:rPr>
              <w:t>th</w:t>
            </w:r>
            <w:r>
              <w:rPr>
                <w:rFonts w:cs="Times New Roman"/>
              </w:rPr>
              <w:t xml:space="preserve"> Jan., 1988</w:t>
            </w:r>
          </w:p>
        </w:tc>
      </w:tr>
      <w:tr w14:paraId="19A94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C515B83">
            <w:pPr>
              <w:tabs>
                <w:tab w:val="left" w:pos="220"/>
              </w:tabs>
              <w:rPr>
                <w:rFonts w:cs="Times New Roman"/>
              </w:rPr>
            </w:pPr>
            <w:r>
              <w:rPr>
                <w:rFonts w:cs="Times New Roman"/>
              </w:rPr>
              <w:t>3</w:t>
            </w:r>
          </w:p>
        </w:tc>
        <w:tc>
          <w:tcPr>
            <w:tcW w:w="3131" w:type="dxa"/>
          </w:tcPr>
          <w:p w14:paraId="68308A94">
            <w:pPr>
              <w:tabs>
                <w:tab w:val="left" w:pos="220"/>
              </w:tabs>
              <w:rPr>
                <w:rFonts w:cs="Times New Roman"/>
              </w:rPr>
            </w:pPr>
            <w:r>
              <w:rPr>
                <w:rFonts w:cs="Times New Roman"/>
              </w:rPr>
              <w:t>Prof. Ade Akinbode; B. A. (Hons); PhD (Ibadan)</w:t>
            </w:r>
          </w:p>
        </w:tc>
        <w:tc>
          <w:tcPr>
            <w:tcW w:w="1549" w:type="dxa"/>
          </w:tcPr>
          <w:p w14:paraId="29412F60">
            <w:pPr>
              <w:tabs>
                <w:tab w:val="left" w:pos="220"/>
              </w:tabs>
              <w:rPr>
                <w:rFonts w:cs="Times New Roman"/>
              </w:rPr>
            </w:pPr>
            <w:r>
              <w:rPr>
                <w:rFonts w:cs="Times New Roman"/>
              </w:rPr>
              <w:t>Geography</w:t>
            </w:r>
          </w:p>
        </w:tc>
        <w:tc>
          <w:tcPr>
            <w:tcW w:w="2914" w:type="dxa"/>
          </w:tcPr>
          <w:p w14:paraId="44C34706">
            <w:pPr>
              <w:tabs>
                <w:tab w:val="left" w:pos="220"/>
              </w:tabs>
              <w:rPr>
                <w:rFonts w:cs="Times New Roman"/>
              </w:rPr>
            </w:pPr>
            <w:r>
              <w:rPr>
                <w:rFonts w:cs="Times New Roman"/>
              </w:rPr>
              <w:t>Spatial Diffusion of Agricultural Innovation in Dual Economics (52pp)</w:t>
            </w:r>
          </w:p>
        </w:tc>
        <w:tc>
          <w:tcPr>
            <w:tcW w:w="1226" w:type="dxa"/>
          </w:tcPr>
          <w:p w14:paraId="12888028">
            <w:pPr>
              <w:tabs>
                <w:tab w:val="left" w:pos="220"/>
              </w:tabs>
              <w:rPr>
                <w:rFonts w:cs="Times New Roman"/>
              </w:rPr>
            </w:pPr>
            <w:r>
              <w:rPr>
                <w:rFonts w:cs="Times New Roman"/>
              </w:rPr>
              <w:t>18</w:t>
            </w:r>
            <w:r>
              <w:rPr>
                <w:rFonts w:cs="Times New Roman"/>
                <w:vertAlign w:val="superscript"/>
              </w:rPr>
              <w:t>th</w:t>
            </w:r>
            <w:r>
              <w:rPr>
                <w:rFonts w:cs="Times New Roman"/>
              </w:rPr>
              <w:t xml:space="preserve"> Jan., 1989</w:t>
            </w:r>
          </w:p>
        </w:tc>
      </w:tr>
      <w:tr w14:paraId="4DA9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625" w:type="dxa"/>
          </w:tcPr>
          <w:p w14:paraId="0D856AA8">
            <w:pPr>
              <w:tabs>
                <w:tab w:val="left" w:pos="220"/>
              </w:tabs>
              <w:rPr>
                <w:rFonts w:cs="Times New Roman"/>
              </w:rPr>
            </w:pPr>
            <w:r>
              <w:rPr>
                <w:rFonts w:cs="Times New Roman"/>
              </w:rPr>
              <w:t>4</w:t>
            </w:r>
          </w:p>
        </w:tc>
        <w:tc>
          <w:tcPr>
            <w:tcW w:w="3131" w:type="dxa"/>
          </w:tcPr>
          <w:p w14:paraId="52596D4C">
            <w:pPr>
              <w:tabs>
                <w:tab w:val="left" w:pos="220"/>
              </w:tabs>
              <w:rPr>
                <w:rFonts w:cs="Times New Roman"/>
              </w:rPr>
            </w:pPr>
            <w:r>
              <w:rPr>
                <w:rFonts w:cs="Times New Roman"/>
              </w:rPr>
              <w:t>Prof. J. E. A. Osemeikhian; B.Sc (Hons); PhD (Ibadan)</w:t>
            </w:r>
          </w:p>
        </w:tc>
        <w:tc>
          <w:tcPr>
            <w:tcW w:w="1549" w:type="dxa"/>
          </w:tcPr>
          <w:p w14:paraId="4BC2D446">
            <w:pPr>
              <w:tabs>
                <w:tab w:val="left" w:pos="220"/>
              </w:tabs>
              <w:rPr>
                <w:rFonts w:cs="Times New Roman"/>
              </w:rPr>
            </w:pPr>
            <w:r>
              <w:rPr>
                <w:rFonts w:cs="Times New Roman"/>
              </w:rPr>
              <w:t>Physics</w:t>
            </w:r>
          </w:p>
        </w:tc>
        <w:tc>
          <w:tcPr>
            <w:tcW w:w="2914" w:type="dxa"/>
          </w:tcPr>
          <w:p w14:paraId="0C566F34">
            <w:pPr>
              <w:tabs>
                <w:tab w:val="left" w:pos="220"/>
              </w:tabs>
              <w:rPr>
                <w:rFonts w:cs="Times New Roman"/>
              </w:rPr>
            </w:pPr>
            <w:r>
              <w:rPr>
                <w:rFonts w:cs="Times New Roman"/>
              </w:rPr>
              <w:t>Looking into the Earth through Magnetic Field (24pp)</w:t>
            </w:r>
          </w:p>
        </w:tc>
        <w:tc>
          <w:tcPr>
            <w:tcW w:w="1226" w:type="dxa"/>
          </w:tcPr>
          <w:p w14:paraId="6AF4D556">
            <w:pPr>
              <w:tabs>
                <w:tab w:val="left" w:pos="220"/>
              </w:tabs>
              <w:rPr>
                <w:rFonts w:cs="Times New Roman"/>
              </w:rPr>
            </w:pPr>
            <w:r>
              <w:rPr>
                <w:rFonts w:cs="Times New Roman"/>
              </w:rPr>
              <w:t>27</w:t>
            </w:r>
            <w:r>
              <w:rPr>
                <w:rFonts w:cs="Times New Roman"/>
                <w:vertAlign w:val="superscript"/>
              </w:rPr>
              <w:t>th</w:t>
            </w:r>
            <w:r>
              <w:rPr>
                <w:rFonts w:cs="Times New Roman"/>
              </w:rPr>
              <w:t xml:space="preserve"> Feb., 1991</w:t>
            </w:r>
          </w:p>
        </w:tc>
      </w:tr>
      <w:tr w14:paraId="42DF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E5541F5">
            <w:pPr>
              <w:tabs>
                <w:tab w:val="left" w:pos="220"/>
              </w:tabs>
              <w:rPr>
                <w:rFonts w:cs="Times New Roman"/>
              </w:rPr>
            </w:pPr>
            <w:r>
              <w:rPr>
                <w:rFonts w:cs="Times New Roman"/>
              </w:rPr>
              <w:t>5</w:t>
            </w:r>
          </w:p>
        </w:tc>
        <w:tc>
          <w:tcPr>
            <w:tcW w:w="3131" w:type="dxa"/>
          </w:tcPr>
          <w:p w14:paraId="57D03D0D">
            <w:pPr>
              <w:tabs>
                <w:tab w:val="left" w:pos="220"/>
              </w:tabs>
              <w:rPr>
                <w:rFonts w:cs="Times New Roman"/>
              </w:rPr>
            </w:pPr>
            <w:r>
              <w:rPr>
                <w:rFonts w:cs="Times New Roman"/>
              </w:rPr>
              <w:t>Prof. A. C. Unomah</w:t>
            </w:r>
          </w:p>
        </w:tc>
        <w:tc>
          <w:tcPr>
            <w:tcW w:w="1549" w:type="dxa"/>
          </w:tcPr>
          <w:p w14:paraId="6AC30F09">
            <w:pPr>
              <w:tabs>
                <w:tab w:val="left" w:pos="220"/>
              </w:tabs>
              <w:rPr>
                <w:rFonts w:cs="Times New Roman"/>
              </w:rPr>
            </w:pPr>
            <w:r>
              <w:rPr>
                <w:rFonts w:cs="Times New Roman"/>
              </w:rPr>
              <w:t>History</w:t>
            </w:r>
          </w:p>
        </w:tc>
        <w:tc>
          <w:tcPr>
            <w:tcW w:w="2914" w:type="dxa"/>
          </w:tcPr>
          <w:p w14:paraId="5824BB03">
            <w:pPr>
              <w:tabs>
                <w:tab w:val="left" w:pos="220"/>
              </w:tabs>
              <w:rPr>
                <w:rFonts w:cs="Times New Roman"/>
              </w:rPr>
            </w:pPr>
            <w:r>
              <w:rPr>
                <w:rFonts w:cs="Times New Roman"/>
              </w:rPr>
              <w:t>Giving it Back: The Irony of National Resources in Africa (33pp)</w:t>
            </w:r>
          </w:p>
        </w:tc>
        <w:tc>
          <w:tcPr>
            <w:tcW w:w="1226" w:type="dxa"/>
          </w:tcPr>
          <w:p w14:paraId="14274DC4">
            <w:pPr>
              <w:tabs>
                <w:tab w:val="left" w:pos="220"/>
              </w:tabs>
              <w:rPr>
                <w:rFonts w:cs="Times New Roman"/>
              </w:rPr>
            </w:pPr>
            <w:r>
              <w:rPr>
                <w:rFonts w:cs="Times New Roman"/>
              </w:rPr>
              <w:t>25</w:t>
            </w:r>
            <w:r>
              <w:rPr>
                <w:rFonts w:cs="Times New Roman"/>
                <w:vertAlign w:val="superscript"/>
              </w:rPr>
              <w:t>th</w:t>
            </w:r>
            <w:r>
              <w:rPr>
                <w:rFonts w:cs="Times New Roman"/>
              </w:rPr>
              <w:t xml:space="preserve"> Nov., 1995</w:t>
            </w:r>
          </w:p>
        </w:tc>
      </w:tr>
      <w:tr w14:paraId="38AA4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01E9C2B9">
            <w:pPr>
              <w:tabs>
                <w:tab w:val="left" w:pos="220"/>
              </w:tabs>
              <w:rPr>
                <w:rFonts w:cs="Times New Roman"/>
              </w:rPr>
            </w:pPr>
            <w:r>
              <w:rPr>
                <w:rFonts w:cs="Times New Roman"/>
              </w:rPr>
              <w:t>6</w:t>
            </w:r>
          </w:p>
        </w:tc>
        <w:tc>
          <w:tcPr>
            <w:tcW w:w="3131" w:type="dxa"/>
          </w:tcPr>
          <w:p w14:paraId="7FDFE781">
            <w:pPr>
              <w:tabs>
                <w:tab w:val="left" w:pos="220"/>
              </w:tabs>
              <w:rPr>
                <w:rFonts w:cs="Times New Roman"/>
              </w:rPr>
            </w:pPr>
            <w:r>
              <w:rPr>
                <w:rFonts w:cs="Times New Roman"/>
              </w:rPr>
              <w:t>Prof. B. I. C. Ijomah; B. A. (Hons) UNN; M. A. PhD (North Western)</w:t>
            </w:r>
          </w:p>
        </w:tc>
        <w:tc>
          <w:tcPr>
            <w:tcW w:w="1549" w:type="dxa"/>
          </w:tcPr>
          <w:p w14:paraId="4BC137D3">
            <w:pPr>
              <w:tabs>
                <w:tab w:val="left" w:pos="220"/>
              </w:tabs>
              <w:rPr>
                <w:rFonts w:cs="Times New Roman"/>
              </w:rPr>
            </w:pPr>
            <w:r>
              <w:rPr>
                <w:rFonts w:cs="Times New Roman"/>
              </w:rPr>
              <w:t>Sociology</w:t>
            </w:r>
          </w:p>
        </w:tc>
        <w:tc>
          <w:tcPr>
            <w:tcW w:w="2914" w:type="dxa"/>
          </w:tcPr>
          <w:p w14:paraId="4E878313">
            <w:pPr>
              <w:tabs>
                <w:tab w:val="left" w:pos="220"/>
              </w:tabs>
              <w:rPr>
                <w:rFonts w:cs="Times New Roman"/>
              </w:rPr>
            </w:pPr>
            <w:r>
              <w:rPr>
                <w:rFonts w:cs="Times New Roman"/>
              </w:rPr>
              <w:t>The Enigma of Nigeria nationalism (40pp)</w:t>
            </w:r>
          </w:p>
        </w:tc>
        <w:tc>
          <w:tcPr>
            <w:tcW w:w="1226" w:type="dxa"/>
          </w:tcPr>
          <w:p w14:paraId="3FBC5F8C">
            <w:pPr>
              <w:tabs>
                <w:tab w:val="left" w:pos="220"/>
              </w:tabs>
              <w:rPr>
                <w:rFonts w:cs="Times New Roman"/>
              </w:rPr>
            </w:pPr>
            <w:r>
              <w:rPr>
                <w:rFonts w:cs="Times New Roman"/>
              </w:rPr>
              <w:t>21</w:t>
            </w:r>
            <w:r>
              <w:rPr>
                <w:rFonts w:cs="Times New Roman"/>
                <w:vertAlign w:val="superscript"/>
              </w:rPr>
              <w:t>st</w:t>
            </w:r>
            <w:r>
              <w:rPr>
                <w:rFonts w:cs="Times New Roman"/>
              </w:rPr>
              <w:t xml:space="preserve"> Mar., 1996</w:t>
            </w:r>
          </w:p>
        </w:tc>
      </w:tr>
      <w:tr w14:paraId="5241B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25" w:type="dxa"/>
          </w:tcPr>
          <w:p w14:paraId="77E8173C">
            <w:pPr>
              <w:tabs>
                <w:tab w:val="left" w:pos="220"/>
              </w:tabs>
              <w:rPr>
                <w:rFonts w:cs="Times New Roman"/>
              </w:rPr>
            </w:pPr>
            <w:r>
              <w:rPr>
                <w:rFonts w:cs="Times New Roman"/>
              </w:rPr>
              <w:t>7</w:t>
            </w:r>
          </w:p>
        </w:tc>
        <w:tc>
          <w:tcPr>
            <w:tcW w:w="3131" w:type="dxa"/>
          </w:tcPr>
          <w:p w14:paraId="1DD04752">
            <w:pPr>
              <w:tabs>
                <w:tab w:val="left" w:pos="220"/>
              </w:tabs>
              <w:rPr>
                <w:rFonts w:cs="Times New Roman"/>
              </w:rPr>
            </w:pPr>
            <w:r>
              <w:rPr>
                <w:rFonts w:cs="Times New Roman"/>
              </w:rPr>
              <w:t>Prof. Agnes Uduebo; PhD (Lagos)</w:t>
            </w:r>
          </w:p>
        </w:tc>
        <w:tc>
          <w:tcPr>
            <w:tcW w:w="1549" w:type="dxa"/>
          </w:tcPr>
          <w:p w14:paraId="5A4CC544">
            <w:pPr>
              <w:tabs>
                <w:tab w:val="left" w:pos="220"/>
              </w:tabs>
              <w:rPr>
                <w:rFonts w:cs="Times New Roman"/>
              </w:rPr>
            </w:pPr>
            <w:r>
              <w:rPr>
                <w:rFonts w:cs="Times New Roman"/>
              </w:rPr>
              <w:t>Botany</w:t>
            </w:r>
          </w:p>
        </w:tc>
        <w:tc>
          <w:tcPr>
            <w:tcW w:w="2914" w:type="dxa"/>
          </w:tcPr>
          <w:p w14:paraId="4E38AF8C">
            <w:pPr>
              <w:tabs>
                <w:tab w:val="left" w:pos="220"/>
              </w:tabs>
              <w:rPr>
                <w:rFonts w:cs="Times New Roman"/>
              </w:rPr>
            </w:pPr>
            <w:r>
              <w:rPr>
                <w:rFonts w:cs="Times New Roman"/>
              </w:rPr>
              <w:t>That it May Be Green (31pp)</w:t>
            </w:r>
          </w:p>
        </w:tc>
        <w:tc>
          <w:tcPr>
            <w:tcW w:w="1226" w:type="dxa"/>
          </w:tcPr>
          <w:p w14:paraId="6FB372A3">
            <w:pPr>
              <w:tabs>
                <w:tab w:val="left" w:pos="220"/>
              </w:tabs>
              <w:rPr>
                <w:rFonts w:cs="Times New Roman"/>
              </w:rPr>
            </w:pPr>
            <w:r>
              <w:rPr>
                <w:rFonts w:cs="Times New Roman"/>
              </w:rPr>
              <w:t>4</w:t>
            </w:r>
            <w:r>
              <w:rPr>
                <w:rFonts w:cs="Times New Roman"/>
                <w:vertAlign w:val="superscript"/>
              </w:rPr>
              <w:t>th</w:t>
            </w:r>
            <w:r>
              <w:rPr>
                <w:rFonts w:cs="Times New Roman"/>
              </w:rPr>
              <w:t xml:space="preserve"> Dec., 1996</w:t>
            </w:r>
          </w:p>
        </w:tc>
      </w:tr>
      <w:tr w14:paraId="225EF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EF58374">
            <w:pPr>
              <w:tabs>
                <w:tab w:val="left" w:pos="220"/>
              </w:tabs>
              <w:rPr>
                <w:rFonts w:cs="Times New Roman"/>
              </w:rPr>
            </w:pPr>
            <w:r>
              <w:rPr>
                <w:rFonts w:cs="Times New Roman"/>
              </w:rPr>
              <w:t>8</w:t>
            </w:r>
          </w:p>
        </w:tc>
        <w:tc>
          <w:tcPr>
            <w:tcW w:w="3131" w:type="dxa"/>
          </w:tcPr>
          <w:p w14:paraId="6BC0D7B3">
            <w:pPr>
              <w:tabs>
                <w:tab w:val="left" w:pos="220"/>
              </w:tabs>
              <w:rPr>
                <w:rFonts w:cs="Times New Roman"/>
              </w:rPr>
            </w:pPr>
            <w:r>
              <w:rPr>
                <w:rFonts w:cs="Times New Roman"/>
              </w:rPr>
              <w:t>Prof. Steve Okecha; PhD (Lagos)</w:t>
            </w:r>
          </w:p>
        </w:tc>
        <w:tc>
          <w:tcPr>
            <w:tcW w:w="1549" w:type="dxa"/>
          </w:tcPr>
          <w:p w14:paraId="601FD0B5">
            <w:pPr>
              <w:tabs>
                <w:tab w:val="left" w:pos="220"/>
              </w:tabs>
              <w:rPr>
                <w:rFonts w:cs="Times New Roman"/>
              </w:rPr>
            </w:pPr>
            <w:r>
              <w:rPr>
                <w:rFonts w:cs="Times New Roman"/>
              </w:rPr>
              <w:t>Chemistry</w:t>
            </w:r>
          </w:p>
        </w:tc>
        <w:tc>
          <w:tcPr>
            <w:tcW w:w="2914" w:type="dxa"/>
          </w:tcPr>
          <w:p w14:paraId="3F969223">
            <w:pPr>
              <w:tabs>
                <w:tab w:val="left" w:pos="220"/>
              </w:tabs>
              <w:rPr>
                <w:rFonts w:cs="Times New Roman"/>
              </w:rPr>
            </w:pPr>
            <w:r>
              <w:rPr>
                <w:rFonts w:cs="Times New Roman"/>
              </w:rPr>
              <w:t>Memoirs of Test Tube Prophet (43pp)</w:t>
            </w:r>
          </w:p>
        </w:tc>
        <w:tc>
          <w:tcPr>
            <w:tcW w:w="1226" w:type="dxa"/>
          </w:tcPr>
          <w:p w14:paraId="0E710F27">
            <w:pPr>
              <w:tabs>
                <w:tab w:val="left" w:pos="220"/>
              </w:tabs>
              <w:rPr>
                <w:rFonts w:cs="Times New Roman"/>
              </w:rPr>
            </w:pPr>
            <w:r>
              <w:rPr>
                <w:rFonts w:cs="Times New Roman"/>
              </w:rPr>
              <w:t>25</w:t>
            </w:r>
            <w:r>
              <w:rPr>
                <w:rFonts w:cs="Times New Roman"/>
                <w:vertAlign w:val="superscript"/>
              </w:rPr>
              <w:t>th</w:t>
            </w:r>
            <w:r>
              <w:rPr>
                <w:rFonts w:cs="Times New Roman"/>
              </w:rPr>
              <w:t xml:space="preserve"> Jun., 1997</w:t>
            </w:r>
          </w:p>
        </w:tc>
      </w:tr>
      <w:tr w14:paraId="0705E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5" w:type="dxa"/>
          </w:tcPr>
          <w:p w14:paraId="2FE062B0">
            <w:pPr>
              <w:tabs>
                <w:tab w:val="left" w:pos="220"/>
              </w:tabs>
              <w:rPr>
                <w:rFonts w:cs="Times New Roman"/>
              </w:rPr>
            </w:pPr>
            <w:r>
              <w:rPr>
                <w:rFonts w:cs="Times New Roman"/>
              </w:rPr>
              <w:t>9</w:t>
            </w:r>
          </w:p>
        </w:tc>
        <w:tc>
          <w:tcPr>
            <w:tcW w:w="3131" w:type="dxa"/>
          </w:tcPr>
          <w:p w14:paraId="4E36B3DB">
            <w:pPr>
              <w:tabs>
                <w:tab w:val="left" w:pos="220"/>
              </w:tabs>
              <w:rPr>
                <w:rFonts w:cs="Times New Roman"/>
              </w:rPr>
            </w:pPr>
            <w:r>
              <w:rPr>
                <w:rFonts w:cs="Times New Roman"/>
              </w:rPr>
              <w:t>Prof. D. E. Agbonlahor; M.Sc; PhD (Lagos)</w:t>
            </w:r>
          </w:p>
        </w:tc>
        <w:tc>
          <w:tcPr>
            <w:tcW w:w="1549" w:type="dxa"/>
          </w:tcPr>
          <w:p w14:paraId="239EC20F">
            <w:pPr>
              <w:tabs>
                <w:tab w:val="left" w:pos="220"/>
              </w:tabs>
              <w:rPr>
                <w:rFonts w:cs="Times New Roman"/>
              </w:rPr>
            </w:pPr>
            <w:r>
              <w:rPr>
                <w:rFonts w:cs="Times New Roman"/>
              </w:rPr>
              <w:t>Micobiology</w:t>
            </w:r>
          </w:p>
        </w:tc>
        <w:tc>
          <w:tcPr>
            <w:tcW w:w="2914" w:type="dxa"/>
          </w:tcPr>
          <w:p w14:paraId="1C8789B3">
            <w:pPr>
              <w:tabs>
                <w:tab w:val="left" w:pos="220"/>
              </w:tabs>
              <w:rPr>
                <w:rFonts w:cs="Times New Roman"/>
              </w:rPr>
            </w:pPr>
            <w:r>
              <w:rPr>
                <w:rFonts w:cs="Times New Roman"/>
              </w:rPr>
              <w:t>Mankind Exploited: Microbes Revolted and their Maker Intervened (42pp)</w:t>
            </w:r>
          </w:p>
        </w:tc>
        <w:tc>
          <w:tcPr>
            <w:tcW w:w="1226" w:type="dxa"/>
          </w:tcPr>
          <w:p w14:paraId="16BA601C">
            <w:pPr>
              <w:tabs>
                <w:tab w:val="left" w:pos="220"/>
              </w:tabs>
              <w:rPr>
                <w:rFonts w:cs="Times New Roman"/>
              </w:rPr>
            </w:pPr>
            <w:r>
              <w:rPr>
                <w:rFonts w:cs="Times New Roman"/>
              </w:rPr>
              <w:t>22</w:t>
            </w:r>
            <w:r>
              <w:rPr>
                <w:rFonts w:cs="Times New Roman"/>
                <w:vertAlign w:val="superscript"/>
              </w:rPr>
              <w:t>nd</w:t>
            </w:r>
            <w:r>
              <w:rPr>
                <w:rFonts w:cs="Times New Roman"/>
              </w:rPr>
              <w:t xml:space="preserve"> Apr., 1998</w:t>
            </w:r>
          </w:p>
        </w:tc>
      </w:tr>
      <w:tr w14:paraId="3FDBE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625" w:type="dxa"/>
          </w:tcPr>
          <w:p w14:paraId="07BAD218">
            <w:pPr>
              <w:tabs>
                <w:tab w:val="left" w:pos="220"/>
              </w:tabs>
              <w:rPr>
                <w:rFonts w:cs="Times New Roman"/>
              </w:rPr>
            </w:pPr>
            <w:r>
              <w:rPr>
                <w:rFonts w:cs="Times New Roman"/>
              </w:rPr>
              <w:t>10</w:t>
            </w:r>
          </w:p>
        </w:tc>
        <w:tc>
          <w:tcPr>
            <w:tcW w:w="3131" w:type="dxa"/>
          </w:tcPr>
          <w:p w14:paraId="251AA4E2">
            <w:pPr>
              <w:tabs>
                <w:tab w:val="left" w:pos="220"/>
              </w:tabs>
              <w:rPr>
                <w:rFonts w:cs="Times New Roman"/>
              </w:rPr>
            </w:pPr>
            <w:r>
              <w:rPr>
                <w:rFonts w:cs="Times New Roman"/>
              </w:rPr>
              <w:t xml:space="preserve">Prof. T. A. Imobighe; B. A. (Hons) Ibadan; M.Sc; PhD (Wales) </w:t>
            </w:r>
          </w:p>
        </w:tc>
        <w:tc>
          <w:tcPr>
            <w:tcW w:w="1549" w:type="dxa"/>
          </w:tcPr>
          <w:p w14:paraId="0A34347E">
            <w:pPr>
              <w:tabs>
                <w:tab w:val="left" w:pos="220"/>
              </w:tabs>
              <w:rPr>
                <w:rFonts w:cs="Times New Roman"/>
              </w:rPr>
            </w:pPr>
            <w:r>
              <w:rPr>
                <w:rFonts w:cs="Times New Roman"/>
              </w:rPr>
              <w:t>Political Science</w:t>
            </w:r>
          </w:p>
        </w:tc>
        <w:tc>
          <w:tcPr>
            <w:tcW w:w="2914" w:type="dxa"/>
          </w:tcPr>
          <w:p w14:paraId="0FCE76B4">
            <w:pPr>
              <w:tabs>
                <w:tab w:val="left" w:pos="220"/>
              </w:tabs>
              <w:rPr>
                <w:rFonts w:cs="Times New Roman"/>
              </w:rPr>
            </w:pPr>
            <w:r>
              <w:rPr>
                <w:rFonts w:cs="Times New Roman"/>
              </w:rPr>
              <w:t>The Management of National Securities (57pp)</w:t>
            </w:r>
          </w:p>
        </w:tc>
        <w:tc>
          <w:tcPr>
            <w:tcW w:w="1226" w:type="dxa"/>
          </w:tcPr>
          <w:p w14:paraId="7EACA251">
            <w:pPr>
              <w:tabs>
                <w:tab w:val="left" w:pos="220"/>
              </w:tabs>
              <w:rPr>
                <w:rFonts w:cs="Times New Roman"/>
              </w:rPr>
            </w:pPr>
            <w:r>
              <w:rPr>
                <w:rFonts w:cs="Times New Roman"/>
              </w:rPr>
              <w:t>4</w:t>
            </w:r>
            <w:r>
              <w:rPr>
                <w:rFonts w:cs="Times New Roman"/>
                <w:vertAlign w:val="superscript"/>
              </w:rPr>
              <w:t>th</w:t>
            </w:r>
            <w:r>
              <w:rPr>
                <w:rFonts w:cs="Times New Roman"/>
              </w:rPr>
              <w:t xml:space="preserve"> Jul., 1998</w:t>
            </w:r>
          </w:p>
        </w:tc>
      </w:tr>
      <w:tr w14:paraId="10D4A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625" w:type="dxa"/>
          </w:tcPr>
          <w:p w14:paraId="738CF307">
            <w:pPr>
              <w:tabs>
                <w:tab w:val="left" w:pos="220"/>
              </w:tabs>
              <w:rPr>
                <w:rFonts w:cs="Times New Roman"/>
              </w:rPr>
            </w:pPr>
            <w:r>
              <w:rPr>
                <w:rFonts w:cs="Times New Roman"/>
              </w:rPr>
              <w:t>11</w:t>
            </w:r>
          </w:p>
        </w:tc>
        <w:tc>
          <w:tcPr>
            <w:tcW w:w="3131" w:type="dxa"/>
          </w:tcPr>
          <w:p w14:paraId="01545147">
            <w:pPr>
              <w:tabs>
                <w:tab w:val="left" w:pos="220"/>
              </w:tabs>
              <w:rPr>
                <w:rFonts w:cs="Times New Roman"/>
              </w:rPr>
            </w:pPr>
            <w:r>
              <w:rPr>
                <w:rFonts w:cs="Times New Roman"/>
              </w:rPr>
              <w:t>Prof. S. U. Remison; B.Sc (ibadan); PhD (Reading)</w:t>
            </w:r>
          </w:p>
        </w:tc>
        <w:tc>
          <w:tcPr>
            <w:tcW w:w="1549" w:type="dxa"/>
          </w:tcPr>
          <w:p w14:paraId="1ABEBC7B">
            <w:pPr>
              <w:tabs>
                <w:tab w:val="left" w:pos="220"/>
              </w:tabs>
              <w:rPr>
                <w:rFonts w:cs="Times New Roman"/>
              </w:rPr>
            </w:pPr>
            <w:r>
              <w:rPr>
                <w:rFonts w:cs="Times New Roman"/>
              </w:rPr>
              <w:t>Agronomy</w:t>
            </w:r>
          </w:p>
        </w:tc>
        <w:tc>
          <w:tcPr>
            <w:tcW w:w="2914" w:type="dxa"/>
          </w:tcPr>
          <w:p w14:paraId="22516A31">
            <w:pPr>
              <w:tabs>
                <w:tab w:val="left" w:pos="220"/>
              </w:tabs>
              <w:rPr>
                <w:rFonts w:cs="Times New Roman"/>
              </w:rPr>
            </w:pPr>
            <w:r>
              <w:rPr>
                <w:rFonts w:cs="Times New Roman"/>
              </w:rPr>
              <w:t>The Elusive Green Revolution (48pp)</w:t>
            </w:r>
          </w:p>
        </w:tc>
        <w:tc>
          <w:tcPr>
            <w:tcW w:w="1226" w:type="dxa"/>
          </w:tcPr>
          <w:p w14:paraId="28639EED">
            <w:pPr>
              <w:tabs>
                <w:tab w:val="left" w:pos="220"/>
              </w:tabs>
              <w:rPr>
                <w:rFonts w:cs="Times New Roman"/>
              </w:rPr>
            </w:pPr>
            <w:r>
              <w:rPr>
                <w:rFonts w:cs="Times New Roman"/>
              </w:rPr>
              <w:t>25</w:t>
            </w:r>
            <w:r>
              <w:rPr>
                <w:rFonts w:cs="Times New Roman"/>
                <w:vertAlign w:val="superscript"/>
              </w:rPr>
              <w:t>th</w:t>
            </w:r>
            <w:r>
              <w:rPr>
                <w:rFonts w:cs="Times New Roman"/>
              </w:rPr>
              <w:t xml:space="preserve"> Feb., 1999</w:t>
            </w:r>
          </w:p>
        </w:tc>
      </w:tr>
      <w:tr w14:paraId="4D05E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625" w:type="dxa"/>
          </w:tcPr>
          <w:p w14:paraId="480B4DDF">
            <w:pPr>
              <w:tabs>
                <w:tab w:val="left" w:pos="220"/>
              </w:tabs>
              <w:rPr>
                <w:rFonts w:cs="Times New Roman"/>
              </w:rPr>
            </w:pPr>
            <w:r>
              <w:rPr>
                <w:rFonts w:cs="Times New Roman"/>
              </w:rPr>
              <w:t>12</w:t>
            </w:r>
          </w:p>
        </w:tc>
        <w:tc>
          <w:tcPr>
            <w:tcW w:w="3131" w:type="dxa"/>
          </w:tcPr>
          <w:p w14:paraId="74B73DBC">
            <w:pPr>
              <w:tabs>
                <w:tab w:val="left" w:pos="220"/>
              </w:tabs>
              <w:rPr>
                <w:rFonts w:cs="Times New Roman"/>
              </w:rPr>
            </w:pPr>
            <w:r>
              <w:rPr>
                <w:rFonts w:cs="Times New Roman"/>
              </w:rPr>
              <w:t>Prof. Olaitan Obanewa; B.A (Ed); M.Ed; PhD (Syracuse)</w:t>
            </w:r>
          </w:p>
        </w:tc>
        <w:tc>
          <w:tcPr>
            <w:tcW w:w="1549" w:type="dxa"/>
          </w:tcPr>
          <w:p w14:paraId="34C85606">
            <w:pPr>
              <w:tabs>
                <w:tab w:val="left" w:pos="220"/>
              </w:tabs>
              <w:rPr>
                <w:rFonts w:cs="Times New Roman"/>
              </w:rPr>
            </w:pPr>
            <w:r>
              <w:rPr>
                <w:rFonts w:cs="Times New Roman"/>
              </w:rPr>
              <w:t>Education</w:t>
            </w:r>
          </w:p>
        </w:tc>
        <w:tc>
          <w:tcPr>
            <w:tcW w:w="2914" w:type="dxa"/>
          </w:tcPr>
          <w:p w14:paraId="0499006C">
            <w:pPr>
              <w:tabs>
                <w:tab w:val="left" w:pos="220"/>
              </w:tabs>
              <w:rPr>
                <w:rFonts w:cs="Times New Roman"/>
              </w:rPr>
            </w:pPr>
            <w:r>
              <w:rPr>
                <w:rFonts w:cs="Times New Roman"/>
              </w:rPr>
              <w:t>Administration Non-Formal Education and Development (55pp)</w:t>
            </w:r>
          </w:p>
        </w:tc>
        <w:tc>
          <w:tcPr>
            <w:tcW w:w="1226" w:type="dxa"/>
          </w:tcPr>
          <w:p w14:paraId="7CB1D359">
            <w:pPr>
              <w:tabs>
                <w:tab w:val="left" w:pos="220"/>
              </w:tabs>
              <w:rPr>
                <w:rFonts w:cs="Times New Roman"/>
              </w:rPr>
            </w:pPr>
            <w:r>
              <w:rPr>
                <w:rFonts w:cs="Times New Roman"/>
              </w:rPr>
              <w:t>24</w:t>
            </w:r>
            <w:r>
              <w:rPr>
                <w:rFonts w:cs="Times New Roman"/>
                <w:vertAlign w:val="superscript"/>
              </w:rPr>
              <w:t>th</w:t>
            </w:r>
            <w:r>
              <w:rPr>
                <w:rFonts w:cs="Times New Roman"/>
              </w:rPr>
              <w:t xml:space="preserve"> Feb., 2000</w:t>
            </w:r>
          </w:p>
        </w:tc>
      </w:tr>
      <w:tr w14:paraId="159D2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625" w:type="dxa"/>
          </w:tcPr>
          <w:p w14:paraId="77472042">
            <w:pPr>
              <w:tabs>
                <w:tab w:val="left" w:pos="220"/>
              </w:tabs>
              <w:rPr>
                <w:rFonts w:cs="Times New Roman"/>
              </w:rPr>
            </w:pPr>
            <w:r>
              <w:rPr>
                <w:rFonts w:cs="Times New Roman"/>
              </w:rPr>
              <w:t>13</w:t>
            </w:r>
          </w:p>
        </w:tc>
        <w:tc>
          <w:tcPr>
            <w:tcW w:w="3131" w:type="dxa"/>
          </w:tcPr>
          <w:p w14:paraId="7EAD7F74">
            <w:pPr>
              <w:tabs>
                <w:tab w:val="left" w:pos="220"/>
              </w:tabs>
              <w:rPr>
                <w:rFonts w:cs="Times New Roman"/>
              </w:rPr>
            </w:pPr>
            <w:r>
              <w:rPr>
                <w:rFonts w:cs="Times New Roman"/>
              </w:rPr>
              <w:t xml:space="preserve">Engr. Prof. E. P. Oaikhena; M.Ph (Leeds); PhD (Wales); MNSE; R. Engr. (COREN) </w:t>
            </w:r>
          </w:p>
        </w:tc>
        <w:tc>
          <w:tcPr>
            <w:tcW w:w="1549" w:type="dxa"/>
          </w:tcPr>
          <w:p w14:paraId="60FF9287">
            <w:pPr>
              <w:tabs>
                <w:tab w:val="left" w:pos="220"/>
              </w:tabs>
              <w:rPr>
                <w:rFonts w:cs="Times New Roman"/>
              </w:rPr>
            </w:pPr>
            <w:r>
              <w:rPr>
                <w:rFonts w:cs="Times New Roman"/>
              </w:rPr>
              <w:t>Materials Engineering</w:t>
            </w:r>
          </w:p>
        </w:tc>
        <w:tc>
          <w:tcPr>
            <w:tcW w:w="2914" w:type="dxa"/>
          </w:tcPr>
          <w:p w14:paraId="47A53BF4">
            <w:pPr>
              <w:tabs>
                <w:tab w:val="left" w:pos="220"/>
              </w:tabs>
              <w:rPr>
                <w:rFonts w:cs="Times New Roman"/>
              </w:rPr>
            </w:pPr>
            <w:r>
              <w:rPr>
                <w:rFonts w:cs="Times New Roman"/>
              </w:rPr>
              <w:t>From Power to Parts (71pp)</w:t>
            </w:r>
          </w:p>
        </w:tc>
        <w:tc>
          <w:tcPr>
            <w:tcW w:w="1226" w:type="dxa"/>
          </w:tcPr>
          <w:p w14:paraId="28F9E399">
            <w:pPr>
              <w:tabs>
                <w:tab w:val="left" w:pos="220"/>
              </w:tabs>
              <w:rPr>
                <w:rFonts w:cs="Times New Roman"/>
              </w:rPr>
            </w:pPr>
            <w:r>
              <w:rPr>
                <w:rFonts w:cs="Times New Roman"/>
              </w:rPr>
              <w:t>29</w:t>
            </w:r>
            <w:r>
              <w:rPr>
                <w:rFonts w:cs="Times New Roman"/>
                <w:vertAlign w:val="superscript"/>
              </w:rPr>
              <w:t>th</w:t>
            </w:r>
            <w:r>
              <w:rPr>
                <w:rFonts w:cs="Times New Roman"/>
              </w:rPr>
              <w:t xml:space="preserve"> Jun., 2000</w:t>
            </w:r>
          </w:p>
        </w:tc>
      </w:tr>
      <w:tr w14:paraId="56502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625" w:type="dxa"/>
          </w:tcPr>
          <w:p w14:paraId="4876F4B0">
            <w:pPr>
              <w:tabs>
                <w:tab w:val="left" w:pos="220"/>
              </w:tabs>
              <w:rPr>
                <w:rFonts w:cs="Times New Roman"/>
              </w:rPr>
            </w:pPr>
            <w:r>
              <w:rPr>
                <w:rFonts w:cs="Times New Roman"/>
              </w:rPr>
              <w:t>14</w:t>
            </w:r>
          </w:p>
        </w:tc>
        <w:tc>
          <w:tcPr>
            <w:tcW w:w="3131" w:type="dxa"/>
          </w:tcPr>
          <w:p w14:paraId="1695DE61">
            <w:pPr>
              <w:tabs>
                <w:tab w:val="left" w:pos="220"/>
              </w:tabs>
              <w:rPr>
                <w:rFonts w:cs="Times New Roman"/>
              </w:rPr>
            </w:pPr>
            <w:r>
              <w:rPr>
                <w:rFonts w:cs="Times New Roman"/>
              </w:rPr>
              <w:t>Prof. D. O. Aigbomian; B.Sc (Ed) Lagos; M.Ed (Exeter); PhD (UNN)</w:t>
            </w:r>
          </w:p>
        </w:tc>
        <w:tc>
          <w:tcPr>
            <w:tcW w:w="1549" w:type="dxa"/>
          </w:tcPr>
          <w:p w14:paraId="0E80EBEF">
            <w:pPr>
              <w:tabs>
                <w:tab w:val="left" w:pos="220"/>
              </w:tabs>
              <w:rPr>
                <w:rFonts w:cs="Times New Roman"/>
              </w:rPr>
            </w:pPr>
            <w:r>
              <w:rPr>
                <w:rFonts w:cs="Times New Roman"/>
              </w:rPr>
              <w:t>Science Education</w:t>
            </w:r>
          </w:p>
        </w:tc>
        <w:tc>
          <w:tcPr>
            <w:tcW w:w="2914" w:type="dxa"/>
          </w:tcPr>
          <w:p w14:paraId="02E7E840">
            <w:pPr>
              <w:tabs>
                <w:tab w:val="left" w:pos="220"/>
              </w:tabs>
              <w:rPr>
                <w:rFonts w:cs="Times New Roman"/>
              </w:rPr>
            </w:pPr>
            <w:r>
              <w:rPr>
                <w:rFonts w:cs="Times New Roman"/>
              </w:rPr>
              <w:t>Science For All: Implementation for the Teacher and National Development (57pp)</w:t>
            </w:r>
          </w:p>
        </w:tc>
        <w:tc>
          <w:tcPr>
            <w:tcW w:w="1226" w:type="dxa"/>
          </w:tcPr>
          <w:p w14:paraId="15C58A1D">
            <w:pPr>
              <w:tabs>
                <w:tab w:val="left" w:pos="220"/>
              </w:tabs>
              <w:rPr>
                <w:rFonts w:cs="Times New Roman"/>
              </w:rPr>
            </w:pPr>
            <w:r>
              <w:rPr>
                <w:rFonts w:cs="Times New Roman"/>
              </w:rPr>
              <w:t>27</w:t>
            </w:r>
            <w:r>
              <w:rPr>
                <w:rFonts w:cs="Times New Roman"/>
                <w:vertAlign w:val="superscript"/>
              </w:rPr>
              <w:t>th</w:t>
            </w:r>
            <w:r>
              <w:rPr>
                <w:rFonts w:cs="Times New Roman"/>
              </w:rPr>
              <w:t xml:space="preserve"> Jun., 2002</w:t>
            </w:r>
          </w:p>
        </w:tc>
      </w:tr>
      <w:tr w14:paraId="5D04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5C6C987D">
            <w:pPr>
              <w:tabs>
                <w:tab w:val="left" w:pos="220"/>
              </w:tabs>
              <w:rPr>
                <w:rFonts w:cs="Times New Roman"/>
              </w:rPr>
            </w:pPr>
            <w:r>
              <w:rPr>
                <w:rFonts w:cs="Times New Roman"/>
              </w:rPr>
              <w:t>15</w:t>
            </w:r>
          </w:p>
        </w:tc>
        <w:tc>
          <w:tcPr>
            <w:tcW w:w="3131" w:type="dxa"/>
          </w:tcPr>
          <w:p w14:paraId="4D22DA36">
            <w:pPr>
              <w:tabs>
                <w:tab w:val="left" w:pos="220"/>
              </w:tabs>
              <w:rPr>
                <w:rFonts w:cs="Times New Roman"/>
              </w:rPr>
            </w:pPr>
            <w:r>
              <w:rPr>
                <w:rFonts w:cs="Times New Roman"/>
              </w:rPr>
              <w:t xml:space="preserve">Rev. Prof. Anthony O. Echekube; B.D; B.A Phil; M.A (Urbania); PhD (Lateramensis) </w:t>
            </w:r>
          </w:p>
        </w:tc>
        <w:tc>
          <w:tcPr>
            <w:tcW w:w="1549" w:type="dxa"/>
          </w:tcPr>
          <w:p w14:paraId="4D1A2B8C">
            <w:pPr>
              <w:tabs>
                <w:tab w:val="left" w:pos="220"/>
              </w:tabs>
              <w:rPr>
                <w:rFonts w:cs="Times New Roman"/>
              </w:rPr>
            </w:pPr>
            <w:r>
              <w:rPr>
                <w:rFonts w:cs="Times New Roman"/>
              </w:rPr>
              <w:t>Philosophy</w:t>
            </w:r>
          </w:p>
        </w:tc>
        <w:tc>
          <w:tcPr>
            <w:tcW w:w="2914" w:type="dxa"/>
          </w:tcPr>
          <w:p w14:paraId="00058336">
            <w:pPr>
              <w:tabs>
                <w:tab w:val="left" w:pos="220"/>
              </w:tabs>
              <w:rPr>
                <w:rFonts w:cs="Times New Roman"/>
              </w:rPr>
            </w:pPr>
            <w:r>
              <w:rPr>
                <w:rFonts w:cs="Times New Roman"/>
              </w:rPr>
              <w:t>A Metaphysical Analysis of the Concept of Reincarnation toward Global Harmony and Peace (42pp)</w:t>
            </w:r>
          </w:p>
        </w:tc>
        <w:tc>
          <w:tcPr>
            <w:tcW w:w="1226" w:type="dxa"/>
          </w:tcPr>
          <w:p w14:paraId="6E8770ED">
            <w:pPr>
              <w:tabs>
                <w:tab w:val="left" w:pos="220"/>
              </w:tabs>
              <w:rPr>
                <w:rFonts w:cs="Times New Roman"/>
              </w:rPr>
            </w:pPr>
            <w:r>
              <w:rPr>
                <w:rFonts w:cs="Times New Roman"/>
              </w:rPr>
              <w:t>26</w:t>
            </w:r>
            <w:r>
              <w:rPr>
                <w:rFonts w:cs="Times New Roman"/>
                <w:vertAlign w:val="superscript"/>
              </w:rPr>
              <w:t>th</w:t>
            </w:r>
            <w:r>
              <w:rPr>
                <w:rFonts w:cs="Times New Roman"/>
              </w:rPr>
              <w:t xml:space="preserve"> Sept., 2002</w:t>
            </w:r>
          </w:p>
        </w:tc>
      </w:tr>
      <w:tr w14:paraId="3EBCF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03EA3E02">
            <w:pPr>
              <w:tabs>
                <w:tab w:val="left" w:pos="220"/>
              </w:tabs>
              <w:rPr>
                <w:rFonts w:cs="Times New Roman"/>
              </w:rPr>
            </w:pPr>
            <w:r>
              <w:rPr>
                <w:rFonts w:cs="Times New Roman"/>
              </w:rPr>
              <w:t>16</w:t>
            </w:r>
          </w:p>
        </w:tc>
        <w:tc>
          <w:tcPr>
            <w:tcW w:w="3131" w:type="dxa"/>
          </w:tcPr>
          <w:p w14:paraId="4C599629">
            <w:pPr>
              <w:tabs>
                <w:tab w:val="left" w:pos="220"/>
              </w:tabs>
              <w:rPr>
                <w:rFonts w:cs="Times New Roman"/>
              </w:rPr>
            </w:pPr>
            <w:r>
              <w:rPr>
                <w:rFonts w:cs="Times New Roman"/>
              </w:rPr>
              <w:t>Rev. Prof. Albert A. Segnola; B.A Hons (Lagos); M.Sc (Ife); PhD (Benin)</w:t>
            </w:r>
          </w:p>
        </w:tc>
        <w:tc>
          <w:tcPr>
            <w:tcW w:w="1549" w:type="dxa"/>
          </w:tcPr>
          <w:p w14:paraId="23E28F05">
            <w:pPr>
              <w:tabs>
                <w:tab w:val="left" w:pos="220"/>
              </w:tabs>
              <w:rPr>
                <w:rFonts w:cs="Times New Roman"/>
              </w:rPr>
            </w:pPr>
            <w:r>
              <w:rPr>
                <w:rFonts w:cs="Times New Roman"/>
              </w:rPr>
              <w:t>Geography</w:t>
            </w:r>
          </w:p>
        </w:tc>
        <w:tc>
          <w:tcPr>
            <w:tcW w:w="2914" w:type="dxa"/>
          </w:tcPr>
          <w:p w14:paraId="45956A6A">
            <w:pPr>
              <w:tabs>
                <w:tab w:val="left" w:pos="220"/>
              </w:tabs>
              <w:rPr>
                <w:rFonts w:cs="Times New Roman"/>
              </w:rPr>
            </w:pPr>
            <w:r>
              <w:rPr>
                <w:rFonts w:cs="Times New Roman"/>
              </w:rPr>
              <w:t>Environmental and Integrated Rural Sustainability: A Spatial Perspective (72pp)</w:t>
            </w:r>
          </w:p>
        </w:tc>
        <w:tc>
          <w:tcPr>
            <w:tcW w:w="1226" w:type="dxa"/>
          </w:tcPr>
          <w:p w14:paraId="102035CF">
            <w:pPr>
              <w:tabs>
                <w:tab w:val="left" w:pos="220"/>
              </w:tabs>
              <w:rPr>
                <w:rFonts w:cs="Times New Roman"/>
              </w:rPr>
            </w:pPr>
            <w:r>
              <w:rPr>
                <w:rFonts w:cs="Times New Roman"/>
              </w:rPr>
              <w:t>7</w:t>
            </w:r>
            <w:r>
              <w:rPr>
                <w:rFonts w:cs="Times New Roman"/>
                <w:vertAlign w:val="superscript"/>
              </w:rPr>
              <w:t>th</w:t>
            </w:r>
            <w:r>
              <w:rPr>
                <w:rFonts w:cs="Times New Roman"/>
              </w:rPr>
              <w:t xml:space="preserve"> Aug., 2003</w:t>
            </w:r>
          </w:p>
        </w:tc>
      </w:tr>
      <w:tr w14:paraId="1536C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625" w:type="dxa"/>
          </w:tcPr>
          <w:p w14:paraId="73390E37">
            <w:pPr>
              <w:tabs>
                <w:tab w:val="left" w:pos="220"/>
              </w:tabs>
              <w:rPr>
                <w:rFonts w:cs="Times New Roman"/>
              </w:rPr>
            </w:pPr>
            <w:r>
              <w:rPr>
                <w:rFonts w:cs="Times New Roman"/>
              </w:rPr>
              <w:t>17</w:t>
            </w:r>
          </w:p>
        </w:tc>
        <w:tc>
          <w:tcPr>
            <w:tcW w:w="3131" w:type="dxa"/>
          </w:tcPr>
          <w:p w14:paraId="6EE34438">
            <w:pPr>
              <w:tabs>
                <w:tab w:val="left" w:pos="220"/>
              </w:tabs>
              <w:rPr>
                <w:rFonts w:cs="Times New Roman"/>
              </w:rPr>
            </w:pPr>
            <w:r>
              <w:rPr>
                <w:rFonts w:cs="Times New Roman"/>
              </w:rPr>
              <w:t>Prof. O. I. Eguavoen; B.Sc (Hons); PhD (Lagos)</w:t>
            </w:r>
          </w:p>
        </w:tc>
        <w:tc>
          <w:tcPr>
            <w:tcW w:w="1549" w:type="dxa"/>
          </w:tcPr>
          <w:p w14:paraId="1FBD1C72">
            <w:pPr>
              <w:tabs>
                <w:tab w:val="left" w:pos="220"/>
              </w:tabs>
              <w:rPr>
                <w:rFonts w:cs="Times New Roman"/>
              </w:rPr>
            </w:pPr>
            <w:r>
              <w:rPr>
                <w:rFonts w:cs="Times New Roman"/>
              </w:rPr>
              <w:t>Chemistry</w:t>
            </w:r>
          </w:p>
        </w:tc>
        <w:tc>
          <w:tcPr>
            <w:tcW w:w="2914" w:type="dxa"/>
          </w:tcPr>
          <w:p w14:paraId="34F8FDE2">
            <w:pPr>
              <w:tabs>
                <w:tab w:val="left" w:pos="220"/>
              </w:tabs>
              <w:rPr>
                <w:rFonts w:cs="Times New Roman"/>
              </w:rPr>
            </w:pPr>
            <w:r>
              <w:rPr>
                <w:rFonts w:cs="Times New Roman"/>
              </w:rPr>
              <w:t>Unravelling Chemistry Events and Products in Pyrex Vessels and Plastic (58pp)</w:t>
            </w:r>
          </w:p>
        </w:tc>
        <w:tc>
          <w:tcPr>
            <w:tcW w:w="1226" w:type="dxa"/>
          </w:tcPr>
          <w:p w14:paraId="4F3090FB">
            <w:pPr>
              <w:tabs>
                <w:tab w:val="left" w:pos="220"/>
              </w:tabs>
              <w:rPr>
                <w:rFonts w:cs="Times New Roman"/>
              </w:rPr>
            </w:pPr>
            <w:r>
              <w:rPr>
                <w:rFonts w:cs="Times New Roman"/>
              </w:rPr>
              <w:t>27</w:t>
            </w:r>
            <w:r>
              <w:rPr>
                <w:rFonts w:cs="Times New Roman"/>
                <w:vertAlign w:val="superscript"/>
              </w:rPr>
              <w:t>th</w:t>
            </w:r>
            <w:r>
              <w:rPr>
                <w:rFonts w:cs="Times New Roman"/>
              </w:rPr>
              <w:t xml:space="preserve"> Nov., 2003</w:t>
            </w:r>
          </w:p>
        </w:tc>
      </w:tr>
      <w:tr w14:paraId="7B594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20DBC62">
            <w:pPr>
              <w:tabs>
                <w:tab w:val="left" w:pos="220"/>
              </w:tabs>
              <w:rPr>
                <w:rFonts w:cs="Times New Roman"/>
              </w:rPr>
            </w:pPr>
            <w:r>
              <w:rPr>
                <w:rFonts w:cs="Times New Roman"/>
              </w:rPr>
              <w:t>18</w:t>
            </w:r>
          </w:p>
        </w:tc>
        <w:tc>
          <w:tcPr>
            <w:tcW w:w="3131" w:type="dxa"/>
          </w:tcPr>
          <w:p w14:paraId="1400ED1F">
            <w:pPr>
              <w:tabs>
                <w:tab w:val="left" w:pos="220"/>
              </w:tabs>
              <w:rPr>
                <w:rFonts w:cs="Times New Roman"/>
              </w:rPr>
            </w:pPr>
            <w:r>
              <w:rPr>
                <w:rFonts w:cs="Times New Roman"/>
              </w:rPr>
              <w:t>Arc. Prof. Omagbe Osuide; B.Sc; M.Sc (ABU)</w:t>
            </w:r>
          </w:p>
        </w:tc>
        <w:tc>
          <w:tcPr>
            <w:tcW w:w="1549" w:type="dxa"/>
          </w:tcPr>
          <w:p w14:paraId="029578EF">
            <w:pPr>
              <w:tabs>
                <w:tab w:val="left" w:pos="220"/>
              </w:tabs>
              <w:rPr>
                <w:rFonts w:cs="Times New Roman"/>
              </w:rPr>
            </w:pPr>
            <w:r>
              <w:rPr>
                <w:rFonts w:cs="Times New Roman"/>
              </w:rPr>
              <w:t>Architecture</w:t>
            </w:r>
          </w:p>
        </w:tc>
        <w:tc>
          <w:tcPr>
            <w:tcW w:w="2914" w:type="dxa"/>
          </w:tcPr>
          <w:p w14:paraId="3B4D24EB">
            <w:pPr>
              <w:tabs>
                <w:tab w:val="left" w:pos="220"/>
              </w:tabs>
              <w:rPr>
                <w:rFonts w:cs="Times New Roman"/>
              </w:rPr>
            </w:pPr>
            <w:r>
              <w:rPr>
                <w:rFonts w:cs="Times New Roman"/>
              </w:rPr>
              <w:t>Strategies for Affordable Housing Delivery in Nigeria (37pp)</w:t>
            </w:r>
          </w:p>
        </w:tc>
        <w:tc>
          <w:tcPr>
            <w:tcW w:w="1226" w:type="dxa"/>
          </w:tcPr>
          <w:p w14:paraId="198E18C7">
            <w:pPr>
              <w:tabs>
                <w:tab w:val="left" w:pos="220"/>
              </w:tabs>
              <w:rPr>
                <w:rFonts w:cs="Times New Roman"/>
              </w:rPr>
            </w:pPr>
            <w:r>
              <w:rPr>
                <w:rFonts w:cs="Times New Roman"/>
              </w:rPr>
              <w:t>29</w:t>
            </w:r>
            <w:r>
              <w:rPr>
                <w:rFonts w:cs="Times New Roman"/>
                <w:vertAlign w:val="superscript"/>
              </w:rPr>
              <w:t>th</w:t>
            </w:r>
            <w:r>
              <w:rPr>
                <w:rFonts w:cs="Times New Roman"/>
              </w:rPr>
              <w:t xml:space="preserve">  Jan., 2004</w:t>
            </w:r>
          </w:p>
        </w:tc>
      </w:tr>
      <w:tr w14:paraId="0C0EE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2AFC70B9">
            <w:pPr>
              <w:tabs>
                <w:tab w:val="left" w:pos="220"/>
              </w:tabs>
              <w:rPr>
                <w:rFonts w:cs="Times New Roman"/>
              </w:rPr>
            </w:pPr>
            <w:r>
              <w:rPr>
                <w:rFonts w:cs="Times New Roman"/>
              </w:rPr>
              <w:t>19</w:t>
            </w:r>
          </w:p>
        </w:tc>
        <w:tc>
          <w:tcPr>
            <w:tcW w:w="3131" w:type="dxa"/>
          </w:tcPr>
          <w:p w14:paraId="317D2095">
            <w:pPr>
              <w:tabs>
                <w:tab w:val="left" w:pos="220"/>
              </w:tabs>
              <w:rPr>
                <w:rFonts w:cs="Times New Roman"/>
              </w:rPr>
            </w:pPr>
            <w:r>
              <w:rPr>
                <w:rFonts w:cs="Times New Roman"/>
              </w:rPr>
              <w:t>Prof. C.A. Dime; B.A; PhD (Ibadan)</w:t>
            </w:r>
          </w:p>
        </w:tc>
        <w:tc>
          <w:tcPr>
            <w:tcW w:w="1549" w:type="dxa"/>
          </w:tcPr>
          <w:p w14:paraId="2857B086">
            <w:pPr>
              <w:tabs>
                <w:tab w:val="left" w:pos="220"/>
              </w:tabs>
              <w:rPr>
                <w:rFonts w:cs="Times New Roman"/>
              </w:rPr>
            </w:pPr>
            <w:r>
              <w:rPr>
                <w:rFonts w:cs="Times New Roman"/>
              </w:rPr>
              <w:t>Religion</w:t>
            </w:r>
          </w:p>
        </w:tc>
        <w:tc>
          <w:tcPr>
            <w:tcW w:w="2914" w:type="dxa"/>
          </w:tcPr>
          <w:p w14:paraId="471BC797">
            <w:pPr>
              <w:tabs>
                <w:tab w:val="left" w:pos="220"/>
              </w:tabs>
              <w:rPr>
                <w:rFonts w:cs="Times New Roman"/>
              </w:rPr>
            </w:pPr>
            <w:r>
              <w:rPr>
                <w:rFonts w:cs="Times New Roman"/>
              </w:rPr>
              <w:t>God, Male, Female or Asexual (37pp)</w:t>
            </w:r>
          </w:p>
        </w:tc>
        <w:tc>
          <w:tcPr>
            <w:tcW w:w="1226" w:type="dxa"/>
          </w:tcPr>
          <w:p w14:paraId="0FC4CD91">
            <w:pPr>
              <w:tabs>
                <w:tab w:val="left" w:pos="220"/>
              </w:tabs>
              <w:rPr>
                <w:rFonts w:cs="Times New Roman"/>
              </w:rPr>
            </w:pPr>
            <w:r>
              <w:rPr>
                <w:rFonts w:cs="Times New Roman"/>
              </w:rPr>
              <w:t>27</w:t>
            </w:r>
            <w:r>
              <w:rPr>
                <w:rFonts w:cs="Times New Roman"/>
                <w:vertAlign w:val="superscript"/>
              </w:rPr>
              <w:t>th</w:t>
            </w:r>
            <w:r>
              <w:rPr>
                <w:rFonts w:cs="Times New Roman"/>
              </w:rPr>
              <w:t xml:space="preserve"> May, 2004</w:t>
            </w:r>
          </w:p>
        </w:tc>
      </w:tr>
      <w:tr w14:paraId="02843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1F79E27">
            <w:pPr>
              <w:tabs>
                <w:tab w:val="left" w:pos="220"/>
              </w:tabs>
              <w:rPr>
                <w:rFonts w:cs="Times New Roman"/>
              </w:rPr>
            </w:pPr>
            <w:r>
              <w:rPr>
                <w:rFonts w:cs="Times New Roman"/>
              </w:rPr>
              <w:t>20</w:t>
            </w:r>
          </w:p>
        </w:tc>
        <w:tc>
          <w:tcPr>
            <w:tcW w:w="3131" w:type="dxa"/>
          </w:tcPr>
          <w:p w14:paraId="037B0D5F">
            <w:pPr>
              <w:tabs>
                <w:tab w:val="left" w:pos="220"/>
              </w:tabs>
              <w:rPr>
                <w:rFonts w:cs="Times New Roman"/>
              </w:rPr>
            </w:pPr>
            <w:r>
              <w:rPr>
                <w:rFonts w:cs="Times New Roman"/>
              </w:rPr>
              <w:t>Prof. M. I. Isokun, JP; B.A Hons (Lagos); M.Sc; PhD (Wales)</w:t>
            </w:r>
          </w:p>
        </w:tc>
        <w:tc>
          <w:tcPr>
            <w:tcW w:w="1549" w:type="dxa"/>
          </w:tcPr>
          <w:p w14:paraId="22BCA8C4">
            <w:pPr>
              <w:tabs>
                <w:tab w:val="left" w:pos="220"/>
              </w:tabs>
              <w:rPr>
                <w:rFonts w:cs="Times New Roman"/>
              </w:rPr>
            </w:pPr>
            <w:r>
              <w:rPr>
                <w:rFonts w:cs="Times New Roman"/>
              </w:rPr>
              <w:t>Sociology</w:t>
            </w:r>
          </w:p>
        </w:tc>
        <w:tc>
          <w:tcPr>
            <w:tcW w:w="2914" w:type="dxa"/>
          </w:tcPr>
          <w:p w14:paraId="3AA323F8">
            <w:pPr>
              <w:tabs>
                <w:tab w:val="left" w:pos="220"/>
              </w:tabs>
              <w:rPr>
                <w:rFonts w:cs="Times New Roman"/>
              </w:rPr>
            </w:pPr>
            <w:r>
              <w:rPr>
                <w:rFonts w:cs="Times New Roman"/>
              </w:rPr>
              <w:t>Men and their Laws, Why Men are Unable to Obey the Laws they Make (121pp)</w:t>
            </w:r>
          </w:p>
        </w:tc>
        <w:tc>
          <w:tcPr>
            <w:tcW w:w="1226" w:type="dxa"/>
          </w:tcPr>
          <w:p w14:paraId="1FA7C6D9">
            <w:pPr>
              <w:tabs>
                <w:tab w:val="left" w:pos="220"/>
              </w:tabs>
              <w:rPr>
                <w:rFonts w:cs="Times New Roman"/>
              </w:rPr>
            </w:pPr>
            <w:r>
              <w:rPr>
                <w:rFonts w:cs="Times New Roman"/>
              </w:rPr>
              <w:t>27</w:t>
            </w:r>
            <w:r>
              <w:rPr>
                <w:rFonts w:cs="Times New Roman"/>
                <w:vertAlign w:val="superscript"/>
              </w:rPr>
              <w:t>th</w:t>
            </w:r>
            <w:r>
              <w:rPr>
                <w:rFonts w:cs="Times New Roman"/>
              </w:rPr>
              <w:t xml:space="preserve"> Aug., 2004</w:t>
            </w:r>
          </w:p>
        </w:tc>
      </w:tr>
      <w:tr w14:paraId="5EEC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625" w:type="dxa"/>
          </w:tcPr>
          <w:p w14:paraId="26958A25">
            <w:pPr>
              <w:tabs>
                <w:tab w:val="left" w:pos="220"/>
              </w:tabs>
              <w:rPr>
                <w:rFonts w:cs="Times New Roman"/>
              </w:rPr>
            </w:pPr>
            <w:r>
              <w:rPr>
                <w:rFonts w:cs="Times New Roman"/>
              </w:rPr>
              <w:t>21</w:t>
            </w:r>
          </w:p>
        </w:tc>
        <w:tc>
          <w:tcPr>
            <w:tcW w:w="3131" w:type="dxa"/>
          </w:tcPr>
          <w:p w14:paraId="51E16A82">
            <w:pPr>
              <w:tabs>
                <w:tab w:val="left" w:pos="220"/>
              </w:tabs>
              <w:rPr>
                <w:rFonts w:cs="Times New Roman"/>
              </w:rPr>
            </w:pPr>
            <w:r>
              <w:rPr>
                <w:rFonts w:cs="Times New Roman"/>
              </w:rPr>
              <w:t>Prof. M. O. Omo-Ojugo, JP; KSC; NCF (Abraka); B.Ed; M.Ed (Philidelphia); PhD (Ibadan)</w:t>
            </w:r>
          </w:p>
        </w:tc>
        <w:tc>
          <w:tcPr>
            <w:tcW w:w="1549" w:type="dxa"/>
          </w:tcPr>
          <w:p w14:paraId="4FBFEF7E">
            <w:pPr>
              <w:tabs>
                <w:tab w:val="left" w:pos="220"/>
              </w:tabs>
              <w:rPr>
                <w:rFonts w:cs="Times New Roman"/>
              </w:rPr>
            </w:pPr>
            <w:r>
              <w:rPr>
                <w:rFonts w:cs="Times New Roman"/>
              </w:rPr>
              <w:t>Language Education</w:t>
            </w:r>
          </w:p>
          <w:p w14:paraId="11538EB1">
            <w:pPr>
              <w:jc w:val="right"/>
              <w:rPr>
                <w:rFonts w:cs="Times New Roman"/>
              </w:rPr>
            </w:pPr>
          </w:p>
        </w:tc>
        <w:tc>
          <w:tcPr>
            <w:tcW w:w="2914" w:type="dxa"/>
          </w:tcPr>
          <w:p w14:paraId="4D95CE94">
            <w:pPr>
              <w:tabs>
                <w:tab w:val="left" w:pos="220"/>
              </w:tabs>
              <w:rPr>
                <w:rFonts w:cs="Times New Roman"/>
              </w:rPr>
            </w:pPr>
            <w:r>
              <w:rPr>
                <w:rFonts w:cs="Times New Roman"/>
              </w:rPr>
              <w:t>Esan Language Endangered: Implication for the Teaching and Learning of Indigenous Languages in Nigeria (40pp)</w:t>
            </w:r>
          </w:p>
        </w:tc>
        <w:tc>
          <w:tcPr>
            <w:tcW w:w="1226" w:type="dxa"/>
          </w:tcPr>
          <w:p w14:paraId="0722D90A">
            <w:pPr>
              <w:tabs>
                <w:tab w:val="left" w:pos="220"/>
              </w:tabs>
              <w:rPr>
                <w:rFonts w:cs="Times New Roman"/>
              </w:rPr>
            </w:pPr>
            <w:r>
              <w:rPr>
                <w:rFonts w:cs="Times New Roman"/>
              </w:rPr>
              <w:t>30</w:t>
            </w:r>
            <w:r>
              <w:rPr>
                <w:rFonts w:cs="Times New Roman"/>
                <w:vertAlign w:val="superscript"/>
              </w:rPr>
              <w:t>th</w:t>
            </w:r>
            <w:r>
              <w:rPr>
                <w:rFonts w:cs="Times New Roman"/>
              </w:rPr>
              <w:t xml:space="preserve"> Nov., 2004</w:t>
            </w:r>
          </w:p>
        </w:tc>
      </w:tr>
      <w:tr w14:paraId="6FF5D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4ADBF3E">
            <w:pPr>
              <w:tabs>
                <w:tab w:val="left" w:pos="220"/>
              </w:tabs>
              <w:rPr>
                <w:rFonts w:cs="Times New Roman"/>
              </w:rPr>
            </w:pPr>
            <w:r>
              <w:rPr>
                <w:rFonts w:cs="Times New Roman"/>
              </w:rPr>
              <w:t>22</w:t>
            </w:r>
          </w:p>
        </w:tc>
        <w:tc>
          <w:tcPr>
            <w:tcW w:w="3131" w:type="dxa"/>
          </w:tcPr>
          <w:p w14:paraId="588E8B42">
            <w:pPr>
              <w:tabs>
                <w:tab w:val="left" w:pos="220"/>
              </w:tabs>
              <w:rPr>
                <w:rFonts w:cs="Times New Roman"/>
              </w:rPr>
            </w:pPr>
            <w:r>
              <w:rPr>
                <w:rFonts w:cs="Times New Roman"/>
              </w:rPr>
              <w:t>Prof. B. E. Agbokhan; B.Sc (East London); M.Sc (Sterling); PhD (Ibadan)</w:t>
            </w:r>
          </w:p>
        </w:tc>
        <w:tc>
          <w:tcPr>
            <w:tcW w:w="1549" w:type="dxa"/>
          </w:tcPr>
          <w:p w14:paraId="6F8145BB">
            <w:pPr>
              <w:tabs>
                <w:tab w:val="left" w:pos="220"/>
              </w:tabs>
              <w:rPr>
                <w:rFonts w:cs="Times New Roman"/>
              </w:rPr>
            </w:pPr>
            <w:r>
              <w:rPr>
                <w:rFonts w:cs="Times New Roman"/>
              </w:rPr>
              <w:t>Economics</w:t>
            </w:r>
          </w:p>
        </w:tc>
        <w:tc>
          <w:tcPr>
            <w:tcW w:w="2914" w:type="dxa"/>
          </w:tcPr>
          <w:p w14:paraId="4D5D0035">
            <w:pPr>
              <w:tabs>
                <w:tab w:val="left" w:pos="220"/>
              </w:tabs>
              <w:rPr>
                <w:rFonts w:cs="Times New Roman"/>
              </w:rPr>
            </w:pPr>
            <w:r>
              <w:rPr>
                <w:rFonts w:cs="Times New Roman"/>
              </w:rPr>
              <w:t>The Battle for Justice and Poverty of Nations (33pp)</w:t>
            </w:r>
          </w:p>
        </w:tc>
        <w:tc>
          <w:tcPr>
            <w:tcW w:w="1226" w:type="dxa"/>
          </w:tcPr>
          <w:p w14:paraId="03DDD30A">
            <w:pPr>
              <w:tabs>
                <w:tab w:val="left" w:pos="220"/>
              </w:tabs>
              <w:rPr>
                <w:rFonts w:cs="Times New Roman"/>
              </w:rPr>
            </w:pPr>
            <w:r>
              <w:rPr>
                <w:rFonts w:cs="Times New Roman"/>
              </w:rPr>
              <w:t>24</w:t>
            </w:r>
            <w:r>
              <w:rPr>
                <w:rFonts w:cs="Times New Roman"/>
                <w:vertAlign w:val="superscript"/>
              </w:rPr>
              <w:t>th</w:t>
            </w:r>
            <w:r>
              <w:rPr>
                <w:rFonts w:cs="Times New Roman"/>
              </w:rPr>
              <w:t xml:space="preserve"> Feb., 2005</w:t>
            </w:r>
          </w:p>
        </w:tc>
      </w:tr>
      <w:tr w14:paraId="1BEF8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625" w:type="dxa"/>
          </w:tcPr>
          <w:p w14:paraId="45F99321">
            <w:pPr>
              <w:tabs>
                <w:tab w:val="left" w:pos="220"/>
              </w:tabs>
              <w:rPr>
                <w:rFonts w:cs="Times New Roman"/>
              </w:rPr>
            </w:pPr>
            <w:r>
              <w:rPr>
                <w:rFonts w:cs="Times New Roman"/>
              </w:rPr>
              <w:t>23</w:t>
            </w:r>
          </w:p>
        </w:tc>
        <w:tc>
          <w:tcPr>
            <w:tcW w:w="3131" w:type="dxa"/>
          </w:tcPr>
          <w:p w14:paraId="128E28A4">
            <w:pPr>
              <w:tabs>
                <w:tab w:val="left" w:pos="220"/>
              </w:tabs>
              <w:rPr>
                <w:rFonts w:cs="Times New Roman"/>
              </w:rPr>
            </w:pPr>
            <w:r>
              <w:rPr>
                <w:rFonts w:cs="Times New Roman"/>
              </w:rPr>
              <w:t>Prof. C. P. Aloamaka; B.Sc (Ibadan); MPA (Ekpoma); PhD (Benin)</w:t>
            </w:r>
          </w:p>
        </w:tc>
        <w:tc>
          <w:tcPr>
            <w:tcW w:w="1549" w:type="dxa"/>
          </w:tcPr>
          <w:p w14:paraId="72B9D246">
            <w:pPr>
              <w:tabs>
                <w:tab w:val="left" w:pos="220"/>
              </w:tabs>
              <w:rPr>
                <w:rFonts w:cs="Times New Roman"/>
              </w:rPr>
            </w:pPr>
            <w:r>
              <w:rPr>
                <w:rFonts w:cs="Times New Roman"/>
              </w:rPr>
              <w:t>Physiology</w:t>
            </w:r>
          </w:p>
        </w:tc>
        <w:tc>
          <w:tcPr>
            <w:tcW w:w="2914" w:type="dxa"/>
          </w:tcPr>
          <w:p w14:paraId="5DC4B832">
            <w:pPr>
              <w:tabs>
                <w:tab w:val="left" w:pos="220"/>
              </w:tabs>
              <w:rPr>
                <w:rFonts w:cs="Times New Roman"/>
              </w:rPr>
            </w:pPr>
            <w:r>
              <w:rPr>
                <w:rFonts w:cs="Times New Roman"/>
              </w:rPr>
              <w:t>A Physiologist View of Abnormal Blood Pressure: The Insanity of Blood Vessels (50pp)</w:t>
            </w:r>
          </w:p>
        </w:tc>
        <w:tc>
          <w:tcPr>
            <w:tcW w:w="1226" w:type="dxa"/>
          </w:tcPr>
          <w:p w14:paraId="5EDB3E3D">
            <w:pPr>
              <w:tabs>
                <w:tab w:val="left" w:pos="220"/>
              </w:tabs>
              <w:rPr>
                <w:rFonts w:cs="Times New Roman"/>
              </w:rPr>
            </w:pPr>
            <w:r>
              <w:rPr>
                <w:rFonts w:cs="Times New Roman"/>
              </w:rPr>
              <w:t>26</w:t>
            </w:r>
            <w:r>
              <w:rPr>
                <w:rFonts w:cs="Times New Roman"/>
                <w:vertAlign w:val="superscript"/>
              </w:rPr>
              <w:t>th</w:t>
            </w:r>
            <w:r>
              <w:rPr>
                <w:rFonts w:cs="Times New Roman"/>
              </w:rPr>
              <w:t xml:space="preserve"> May, 2005</w:t>
            </w:r>
          </w:p>
        </w:tc>
      </w:tr>
      <w:tr w14:paraId="13242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505F91E2">
            <w:pPr>
              <w:tabs>
                <w:tab w:val="left" w:pos="220"/>
              </w:tabs>
              <w:rPr>
                <w:rFonts w:cs="Times New Roman"/>
              </w:rPr>
            </w:pPr>
            <w:r>
              <w:rPr>
                <w:rFonts w:cs="Times New Roman"/>
              </w:rPr>
              <w:t>24</w:t>
            </w:r>
          </w:p>
        </w:tc>
        <w:tc>
          <w:tcPr>
            <w:tcW w:w="3131" w:type="dxa"/>
          </w:tcPr>
          <w:p w14:paraId="7D6C7A24">
            <w:pPr>
              <w:tabs>
                <w:tab w:val="left" w:pos="220"/>
              </w:tabs>
              <w:rPr>
                <w:rFonts w:cs="Times New Roman"/>
              </w:rPr>
            </w:pPr>
            <w:r>
              <w:rPr>
                <w:rFonts w:cs="Times New Roman"/>
              </w:rPr>
              <w:t>Prof. J. B. Longe; B.Sc (Ibadan); PGD; M.A. (Essex); PhD (Lagos)</w:t>
            </w:r>
          </w:p>
        </w:tc>
        <w:tc>
          <w:tcPr>
            <w:tcW w:w="1549" w:type="dxa"/>
          </w:tcPr>
          <w:p w14:paraId="4596BEA0">
            <w:pPr>
              <w:tabs>
                <w:tab w:val="left" w:pos="220"/>
              </w:tabs>
              <w:rPr>
                <w:rFonts w:cs="Times New Roman"/>
              </w:rPr>
            </w:pPr>
            <w:r>
              <w:rPr>
                <w:rFonts w:cs="Times New Roman"/>
              </w:rPr>
              <w:t>Economics</w:t>
            </w:r>
          </w:p>
        </w:tc>
        <w:tc>
          <w:tcPr>
            <w:tcW w:w="2914" w:type="dxa"/>
          </w:tcPr>
          <w:p w14:paraId="431BCA3B">
            <w:pPr>
              <w:tabs>
                <w:tab w:val="left" w:pos="220"/>
              </w:tabs>
              <w:rPr>
                <w:rFonts w:cs="Times New Roman"/>
              </w:rPr>
            </w:pPr>
            <w:r>
              <w:rPr>
                <w:rFonts w:cs="Times New Roman"/>
              </w:rPr>
              <w:t>That Nigeria Shall Not Die Poor: The Quest to Save the Poor (53pp)</w:t>
            </w:r>
          </w:p>
        </w:tc>
        <w:tc>
          <w:tcPr>
            <w:tcW w:w="1226" w:type="dxa"/>
          </w:tcPr>
          <w:p w14:paraId="1C2A0590">
            <w:pPr>
              <w:tabs>
                <w:tab w:val="left" w:pos="220"/>
              </w:tabs>
              <w:rPr>
                <w:rFonts w:cs="Times New Roman"/>
              </w:rPr>
            </w:pPr>
            <w:r>
              <w:rPr>
                <w:rFonts w:cs="Times New Roman"/>
              </w:rPr>
              <w:t>1</w:t>
            </w:r>
            <w:r>
              <w:rPr>
                <w:rFonts w:cs="Times New Roman"/>
                <w:vertAlign w:val="superscript"/>
              </w:rPr>
              <w:t>st</w:t>
            </w:r>
            <w:r>
              <w:rPr>
                <w:rFonts w:cs="Times New Roman"/>
              </w:rPr>
              <w:t xml:space="preserve"> Dec., 2005</w:t>
            </w:r>
          </w:p>
        </w:tc>
      </w:tr>
      <w:tr w14:paraId="596E0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DFCAAD7">
            <w:pPr>
              <w:tabs>
                <w:tab w:val="left" w:pos="220"/>
              </w:tabs>
              <w:rPr>
                <w:rFonts w:cs="Times New Roman"/>
              </w:rPr>
            </w:pPr>
            <w:r>
              <w:rPr>
                <w:rFonts w:cs="Times New Roman"/>
              </w:rPr>
              <w:t>25</w:t>
            </w:r>
          </w:p>
        </w:tc>
        <w:tc>
          <w:tcPr>
            <w:tcW w:w="3131" w:type="dxa"/>
          </w:tcPr>
          <w:p w14:paraId="1132F6DD">
            <w:pPr>
              <w:tabs>
                <w:tab w:val="left" w:pos="220"/>
              </w:tabs>
              <w:rPr>
                <w:rFonts w:cs="Times New Roman"/>
              </w:rPr>
            </w:pPr>
            <w:r>
              <w:rPr>
                <w:rFonts w:cs="Times New Roman"/>
              </w:rPr>
              <w:t>Prof. George Akpede; MBBS (Ibadan); FWACP; FMCP</w:t>
            </w:r>
          </w:p>
        </w:tc>
        <w:tc>
          <w:tcPr>
            <w:tcW w:w="1549" w:type="dxa"/>
          </w:tcPr>
          <w:p w14:paraId="6B354065">
            <w:pPr>
              <w:tabs>
                <w:tab w:val="left" w:pos="220"/>
              </w:tabs>
              <w:rPr>
                <w:rFonts w:cs="Times New Roman"/>
              </w:rPr>
            </w:pPr>
            <w:r>
              <w:rPr>
                <w:rFonts w:cs="Times New Roman"/>
              </w:rPr>
              <w:t>Pediatrics</w:t>
            </w:r>
          </w:p>
        </w:tc>
        <w:tc>
          <w:tcPr>
            <w:tcW w:w="2914" w:type="dxa"/>
          </w:tcPr>
          <w:p w14:paraId="74F440CC">
            <w:pPr>
              <w:tabs>
                <w:tab w:val="left" w:pos="220"/>
              </w:tabs>
              <w:rPr>
                <w:rFonts w:cs="Times New Roman"/>
              </w:rPr>
            </w:pPr>
            <w:r>
              <w:rPr>
                <w:rFonts w:cs="Times New Roman"/>
              </w:rPr>
              <w:t>The Problem of Unsuspected Bacteria and Acute Bacterial Meningitis in Childhood Fever and Neurological Emergencies in the Tropics (87pp)</w:t>
            </w:r>
          </w:p>
        </w:tc>
        <w:tc>
          <w:tcPr>
            <w:tcW w:w="1226" w:type="dxa"/>
          </w:tcPr>
          <w:p w14:paraId="5966D7B5">
            <w:pPr>
              <w:tabs>
                <w:tab w:val="left" w:pos="220"/>
              </w:tabs>
              <w:rPr>
                <w:rFonts w:cs="Times New Roman"/>
              </w:rPr>
            </w:pPr>
            <w:r>
              <w:rPr>
                <w:rFonts w:cs="Times New Roman"/>
              </w:rPr>
              <w:t>30</w:t>
            </w:r>
            <w:r>
              <w:rPr>
                <w:rFonts w:cs="Times New Roman"/>
                <w:vertAlign w:val="superscript"/>
              </w:rPr>
              <w:t>th</w:t>
            </w:r>
            <w:r>
              <w:rPr>
                <w:rFonts w:cs="Times New Roman"/>
              </w:rPr>
              <w:t xml:space="preserve"> Mar., 2006</w:t>
            </w:r>
          </w:p>
        </w:tc>
      </w:tr>
      <w:tr w14:paraId="7D0FD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E5565AF">
            <w:pPr>
              <w:tabs>
                <w:tab w:val="left" w:pos="220"/>
              </w:tabs>
              <w:rPr>
                <w:rFonts w:cs="Times New Roman"/>
              </w:rPr>
            </w:pPr>
            <w:r>
              <w:rPr>
                <w:rFonts w:cs="Times New Roman"/>
              </w:rPr>
              <w:t>26</w:t>
            </w:r>
          </w:p>
        </w:tc>
        <w:tc>
          <w:tcPr>
            <w:tcW w:w="3131" w:type="dxa"/>
          </w:tcPr>
          <w:p w14:paraId="5D2ACFA7">
            <w:pPr>
              <w:tabs>
                <w:tab w:val="left" w:pos="220"/>
              </w:tabs>
              <w:rPr>
                <w:rFonts w:cs="Times New Roman"/>
              </w:rPr>
            </w:pPr>
            <w:r>
              <w:rPr>
                <w:rFonts w:cs="Times New Roman"/>
              </w:rPr>
              <w:t>Prof. Sam. E. Ifidon; B.A (London); MLS (Western Ontario); PhD (Ibadan)</w:t>
            </w:r>
          </w:p>
        </w:tc>
        <w:tc>
          <w:tcPr>
            <w:tcW w:w="1549" w:type="dxa"/>
          </w:tcPr>
          <w:p w14:paraId="4E6D14DB">
            <w:pPr>
              <w:tabs>
                <w:tab w:val="left" w:pos="220"/>
              </w:tabs>
              <w:rPr>
                <w:rFonts w:cs="Times New Roman"/>
              </w:rPr>
            </w:pPr>
            <w:r>
              <w:rPr>
                <w:rFonts w:cs="Times New Roman"/>
              </w:rPr>
              <w:t>Library and Information Science</w:t>
            </w:r>
          </w:p>
        </w:tc>
        <w:tc>
          <w:tcPr>
            <w:tcW w:w="2914" w:type="dxa"/>
          </w:tcPr>
          <w:p w14:paraId="49C5F192">
            <w:pPr>
              <w:tabs>
                <w:tab w:val="left" w:pos="220"/>
              </w:tabs>
              <w:rPr>
                <w:rFonts w:cs="Times New Roman"/>
              </w:rPr>
            </w:pPr>
            <w:r>
              <w:rPr>
                <w:rFonts w:cs="Times New Roman"/>
              </w:rPr>
              <w:t>Planning about Information: The Bane of National Development (52pp)</w:t>
            </w:r>
          </w:p>
        </w:tc>
        <w:tc>
          <w:tcPr>
            <w:tcW w:w="1226" w:type="dxa"/>
          </w:tcPr>
          <w:p w14:paraId="49D149FA">
            <w:pPr>
              <w:tabs>
                <w:tab w:val="left" w:pos="220"/>
              </w:tabs>
              <w:rPr>
                <w:rFonts w:cs="Times New Roman"/>
              </w:rPr>
            </w:pPr>
            <w:r>
              <w:rPr>
                <w:rFonts w:cs="Times New Roman"/>
              </w:rPr>
              <w:t>29</w:t>
            </w:r>
            <w:r>
              <w:rPr>
                <w:rFonts w:cs="Times New Roman"/>
                <w:vertAlign w:val="superscript"/>
              </w:rPr>
              <w:t>th</w:t>
            </w:r>
            <w:r>
              <w:rPr>
                <w:rFonts w:cs="Times New Roman"/>
              </w:rPr>
              <w:t xml:space="preserve"> Jun., 2006</w:t>
            </w:r>
          </w:p>
        </w:tc>
      </w:tr>
      <w:tr w14:paraId="33214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2C9AE79">
            <w:pPr>
              <w:tabs>
                <w:tab w:val="left" w:pos="220"/>
              </w:tabs>
              <w:rPr>
                <w:rFonts w:cs="Times New Roman"/>
              </w:rPr>
            </w:pPr>
            <w:r>
              <w:rPr>
                <w:rFonts w:cs="Times New Roman"/>
              </w:rPr>
              <w:t>27</w:t>
            </w:r>
          </w:p>
        </w:tc>
        <w:tc>
          <w:tcPr>
            <w:tcW w:w="3131" w:type="dxa"/>
          </w:tcPr>
          <w:p w14:paraId="6E3730BF">
            <w:pPr>
              <w:tabs>
                <w:tab w:val="left" w:pos="220"/>
              </w:tabs>
              <w:rPr>
                <w:rFonts w:cs="Times New Roman"/>
              </w:rPr>
            </w:pPr>
            <w:r>
              <w:rPr>
                <w:rFonts w:cs="Times New Roman"/>
              </w:rPr>
              <w:t>Prof. Sam. O. Uniamikogbo; B.Sc (Hons); M.Sc.; PhD (Ife)</w:t>
            </w:r>
          </w:p>
        </w:tc>
        <w:tc>
          <w:tcPr>
            <w:tcW w:w="1549" w:type="dxa"/>
          </w:tcPr>
          <w:p w14:paraId="5655F297">
            <w:pPr>
              <w:tabs>
                <w:tab w:val="left" w:pos="220"/>
              </w:tabs>
              <w:rPr>
                <w:rFonts w:cs="Times New Roman"/>
              </w:rPr>
            </w:pPr>
            <w:r>
              <w:rPr>
                <w:rFonts w:cs="Times New Roman"/>
              </w:rPr>
              <w:t>Economics</w:t>
            </w:r>
          </w:p>
        </w:tc>
        <w:tc>
          <w:tcPr>
            <w:tcW w:w="2914" w:type="dxa"/>
          </w:tcPr>
          <w:p w14:paraId="3A487794">
            <w:pPr>
              <w:tabs>
                <w:tab w:val="left" w:pos="220"/>
              </w:tabs>
              <w:rPr>
                <w:rFonts w:cs="Times New Roman"/>
              </w:rPr>
            </w:pPr>
            <w:r>
              <w:rPr>
                <w:rFonts w:cs="Times New Roman"/>
              </w:rPr>
              <w:t>Nigeria Industrialization Pathway: The Dreams and Realities (42pp)</w:t>
            </w:r>
          </w:p>
        </w:tc>
        <w:tc>
          <w:tcPr>
            <w:tcW w:w="1226" w:type="dxa"/>
          </w:tcPr>
          <w:p w14:paraId="092031C0">
            <w:pPr>
              <w:tabs>
                <w:tab w:val="left" w:pos="220"/>
              </w:tabs>
              <w:rPr>
                <w:rFonts w:cs="Times New Roman"/>
              </w:rPr>
            </w:pPr>
            <w:r>
              <w:rPr>
                <w:rFonts w:cs="Times New Roman"/>
              </w:rPr>
              <w:t>30</w:t>
            </w:r>
            <w:r>
              <w:rPr>
                <w:rFonts w:cs="Times New Roman"/>
                <w:vertAlign w:val="superscript"/>
              </w:rPr>
              <w:t>th</w:t>
            </w:r>
            <w:r>
              <w:rPr>
                <w:rFonts w:cs="Times New Roman"/>
              </w:rPr>
              <w:t xml:space="preserve"> Nov., 2006</w:t>
            </w:r>
          </w:p>
        </w:tc>
      </w:tr>
      <w:tr w14:paraId="12695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1E17362D">
            <w:pPr>
              <w:tabs>
                <w:tab w:val="left" w:pos="220"/>
              </w:tabs>
              <w:rPr>
                <w:rFonts w:cs="Times New Roman"/>
              </w:rPr>
            </w:pPr>
            <w:r>
              <w:rPr>
                <w:rFonts w:cs="Times New Roman"/>
              </w:rPr>
              <w:t>28</w:t>
            </w:r>
          </w:p>
        </w:tc>
        <w:tc>
          <w:tcPr>
            <w:tcW w:w="3131" w:type="dxa"/>
          </w:tcPr>
          <w:p w14:paraId="7B862300">
            <w:pPr>
              <w:tabs>
                <w:tab w:val="left" w:pos="220"/>
              </w:tabs>
              <w:rPr>
                <w:rFonts w:cs="Times New Roman"/>
              </w:rPr>
            </w:pPr>
            <w:r>
              <w:rPr>
                <w:rFonts w:cs="Times New Roman"/>
              </w:rPr>
              <w:t>Prof. Fred I. Emordi; B.A. (Hons); Dip. Ed (ABU); M.Ed (Philadelphia); Mph; PhD (Grenoble)</w:t>
            </w:r>
          </w:p>
        </w:tc>
        <w:tc>
          <w:tcPr>
            <w:tcW w:w="1549" w:type="dxa"/>
          </w:tcPr>
          <w:p w14:paraId="63F9C237">
            <w:pPr>
              <w:tabs>
                <w:tab w:val="left" w:pos="220"/>
              </w:tabs>
              <w:rPr>
                <w:rFonts w:cs="Times New Roman"/>
              </w:rPr>
            </w:pPr>
            <w:r>
              <w:rPr>
                <w:rFonts w:cs="Times New Roman"/>
              </w:rPr>
              <w:t>French</w:t>
            </w:r>
          </w:p>
        </w:tc>
        <w:tc>
          <w:tcPr>
            <w:tcW w:w="2914" w:type="dxa"/>
          </w:tcPr>
          <w:p w14:paraId="7F9CA4B3">
            <w:pPr>
              <w:tabs>
                <w:tab w:val="left" w:pos="220"/>
              </w:tabs>
              <w:rPr>
                <w:rFonts w:cs="Times New Roman"/>
              </w:rPr>
            </w:pPr>
            <w:r>
              <w:rPr>
                <w:rFonts w:cs="Times New Roman"/>
              </w:rPr>
              <w:t>Bonjour le Nigeria! Comment CaVa? French Language in Nigeria So far, 1859-2007 (70pp)</w:t>
            </w:r>
          </w:p>
        </w:tc>
        <w:tc>
          <w:tcPr>
            <w:tcW w:w="1226" w:type="dxa"/>
          </w:tcPr>
          <w:p w14:paraId="3767565F">
            <w:pPr>
              <w:tabs>
                <w:tab w:val="left" w:pos="220"/>
              </w:tabs>
              <w:rPr>
                <w:rFonts w:cs="Times New Roman"/>
              </w:rPr>
            </w:pPr>
            <w:r>
              <w:rPr>
                <w:rFonts w:cs="Times New Roman"/>
              </w:rPr>
              <w:t>29</w:t>
            </w:r>
            <w:r>
              <w:rPr>
                <w:rFonts w:cs="Times New Roman"/>
                <w:vertAlign w:val="superscript"/>
              </w:rPr>
              <w:t>th</w:t>
            </w:r>
            <w:r>
              <w:rPr>
                <w:rFonts w:cs="Times New Roman"/>
              </w:rPr>
              <w:t xml:space="preserve"> Mar., 2007</w:t>
            </w:r>
          </w:p>
        </w:tc>
      </w:tr>
      <w:tr w14:paraId="5F75A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D62D78A">
            <w:pPr>
              <w:tabs>
                <w:tab w:val="left" w:pos="220"/>
              </w:tabs>
              <w:rPr>
                <w:rFonts w:cs="Times New Roman"/>
              </w:rPr>
            </w:pPr>
            <w:r>
              <w:rPr>
                <w:rFonts w:cs="Times New Roman"/>
              </w:rPr>
              <w:t>29</w:t>
            </w:r>
          </w:p>
        </w:tc>
        <w:tc>
          <w:tcPr>
            <w:tcW w:w="3131" w:type="dxa"/>
          </w:tcPr>
          <w:p w14:paraId="03F3ADEA">
            <w:pPr>
              <w:tabs>
                <w:tab w:val="left" w:pos="220"/>
              </w:tabs>
              <w:rPr>
                <w:rFonts w:cs="Times New Roman"/>
              </w:rPr>
            </w:pPr>
            <w:r>
              <w:rPr>
                <w:rFonts w:cs="Times New Roman"/>
              </w:rPr>
              <w:t>Prof. J. B. Igbinosa; B.Sc; PhD (UNN)</w:t>
            </w:r>
          </w:p>
        </w:tc>
        <w:tc>
          <w:tcPr>
            <w:tcW w:w="1549" w:type="dxa"/>
          </w:tcPr>
          <w:p w14:paraId="3663A953">
            <w:pPr>
              <w:tabs>
                <w:tab w:val="left" w:pos="220"/>
              </w:tabs>
              <w:rPr>
                <w:rFonts w:cs="Times New Roman"/>
              </w:rPr>
            </w:pPr>
            <w:r>
              <w:rPr>
                <w:rFonts w:cs="Times New Roman"/>
              </w:rPr>
              <w:t>Zoology</w:t>
            </w:r>
          </w:p>
        </w:tc>
        <w:tc>
          <w:tcPr>
            <w:tcW w:w="2914" w:type="dxa"/>
          </w:tcPr>
          <w:p w14:paraId="28639B49">
            <w:pPr>
              <w:tabs>
                <w:tab w:val="left" w:pos="220"/>
              </w:tabs>
              <w:rPr>
                <w:rFonts w:cs="Times New Roman"/>
              </w:rPr>
            </w:pPr>
            <w:r>
              <w:rPr>
                <w:rFonts w:cs="Times New Roman"/>
              </w:rPr>
              <w:t>Insects and Our Environment: The Conflict Between Man and Insects (63pp)</w:t>
            </w:r>
          </w:p>
        </w:tc>
        <w:tc>
          <w:tcPr>
            <w:tcW w:w="1226" w:type="dxa"/>
          </w:tcPr>
          <w:p w14:paraId="104919F6">
            <w:pPr>
              <w:tabs>
                <w:tab w:val="left" w:pos="220"/>
              </w:tabs>
              <w:rPr>
                <w:rFonts w:cs="Times New Roman"/>
              </w:rPr>
            </w:pPr>
            <w:r>
              <w:rPr>
                <w:rFonts w:cs="Times New Roman"/>
              </w:rPr>
              <w:t>25</w:t>
            </w:r>
            <w:r>
              <w:rPr>
                <w:rFonts w:cs="Times New Roman"/>
                <w:vertAlign w:val="superscript"/>
              </w:rPr>
              <w:t>th</w:t>
            </w:r>
            <w:r>
              <w:rPr>
                <w:rFonts w:cs="Times New Roman"/>
              </w:rPr>
              <w:t xml:space="preserve"> Oct., 2007</w:t>
            </w:r>
          </w:p>
        </w:tc>
      </w:tr>
      <w:tr w14:paraId="0140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0C9B13C">
            <w:pPr>
              <w:tabs>
                <w:tab w:val="left" w:pos="220"/>
              </w:tabs>
              <w:rPr>
                <w:rFonts w:cs="Times New Roman"/>
              </w:rPr>
            </w:pPr>
            <w:r>
              <w:rPr>
                <w:rFonts w:cs="Times New Roman"/>
              </w:rPr>
              <w:t>30</w:t>
            </w:r>
          </w:p>
        </w:tc>
        <w:tc>
          <w:tcPr>
            <w:tcW w:w="3131" w:type="dxa"/>
          </w:tcPr>
          <w:p w14:paraId="14A11C06">
            <w:pPr>
              <w:tabs>
                <w:tab w:val="left" w:pos="220"/>
              </w:tabs>
              <w:rPr>
                <w:rFonts w:cs="Times New Roman"/>
              </w:rPr>
            </w:pPr>
            <w:r>
              <w:rPr>
                <w:rFonts w:cs="Times New Roman"/>
              </w:rPr>
              <w:t>Prof. Vincent Osa Aghayere; B.Sc (Sam House Huntsville, Texas); MPA (East Texas Commerce, TX); PhD (Benin)</w:t>
            </w:r>
          </w:p>
        </w:tc>
        <w:tc>
          <w:tcPr>
            <w:tcW w:w="1549" w:type="dxa"/>
          </w:tcPr>
          <w:p w14:paraId="03BCC1C3">
            <w:pPr>
              <w:tabs>
                <w:tab w:val="left" w:pos="220"/>
              </w:tabs>
              <w:rPr>
                <w:rFonts w:cs="Times New Roman"/>
              </w:rPr>
            </w:pPr>
            <w:r>
              <w:rPr>
                <w:rFonts w:cs="Times New Roman"/>
              </w:rPr>
              <w:t>Public Administration</w:t>
            </w:r>
          </w:p>
        </w:tc>
        <w:tc>
          <w:tcPr>
            <w:tcW w:w="2914" w:type="dxa"/>
          </w:tcPr>
          <w:p w14:paraId="7B62166D">
            <w:pPr>
              <w:tabs>
                <w:tab w:val="left" w:pos="220"/>
              </w:tabs>
              <w:rPr>
                <w:rFonts w:cs="Times New Roman"/>
              </w:rPr>
            </w:pPr>
            <w:r>
              <w:rPr>
                <w:rFonts w:cs="Times New Roman"/>
              </w:rPr>
              <w:t>The Dynamics of Centre Periphery Dominance in the Nigeria Political System: The Local Government Experience (58pp)</w:t>
            </w:r>
          </w:p>
        </w:tc>
        <w:tc>
          <w:tcPr>
            <w:tcW w:w="1226" w:type="dxa"/>
          </w:tcPr>
          <w:p w14:paraId="7D034376">
            <w:pPr>
              <w:tabs>
                <w:tab w:val="left" w:pos="220"/>
              </w:tabs>
              <w:rPr>
                <w:rFonts w:cs="Times New Roman"/>
              </w:rPr>
            </w:pPr>
            <w:r>
              <w:rPr>
                <w:rFonts w:cs="Times New Roman"/>
              </w:rPr>
              <w:t>28</w:t>
            </w:r>
            <w:r>
              <w:rPr>
                <w:rFonts w:cs="Times New Roman"/>
                <w:vertAlign w:val="superscript"/>
              </w:rPr>
              <w:t>th</w:t>
            </w:r>
            <w:r>
              <w:rPr>
                <w:rFonts w:cs="Times New Roman"/>
              </w:rPr>
              <w:t xml:space="preserve"> Feb., 2008</w:t>
            </w:r>
          </w:p>
        </w:tc>
      </w:tr>
      <w:tr w14:paraId="6FF79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atLeast"/>
        </w:trPr>
        <w:tc>
          <w:tcPr>
            <w:tcW w:w="625" w:type="dxa"/>
          </w:tcPr>
          <w:p w14:paraId="114F659D">
            <w:pPr>
              <w:tabs>
                <w:tab w:val="left" w:pos="220"/>
              </w:tabs>
              <w:rPr>
                <w:rFonts w:cs="Times New Roman"/>
              </w:rPr>
            </w:pPr>
            <w:r>
              <w:rPr>
                <w:rFonts w:cs="Times New Roman"/>
              </w:rPr>
              <w:t>31</w:t>
            </w:r>
          </w:p>
        </w:tc>
        <w:tc>
          <w:tcPr>
            <w:tcW w:w="3131" w:type="dxa"/>
          </w:tcPr>
          <w:p w14:paraId="2DFA042A">
            <w:pPr>
              <w:tabs>
                <w:tab w:val="left" w:pos="220"/>
              </w:tabs>
              <w:rPr>
                <w:rFonts w:cs="Times New Roman"/>
              </w:rPr>
            </w:pPr>
            <w:r>
              <w:rPr>
                <w:rFonts w:cs="Times New Roman"/>
              </w:rPr>
              <w:t>Prof. F. E. Iyoha; B.A; MPA (New Yok); PhD (souderton)</w:t>
            </w:r>
          </w:p>
        </w:tc>
        <w:tc>
          <w:tcPr>
            <w:tcW w:w="1549" w:type="dxa"/>
          </w:tcPr>
          <w:p w14:paraId="6B7E9336">
            <w:pPr>
              <w:tabs>
                <w:tab w:val="left" w:pos="220"/>
              </w:tabs>
              <w:rPr>
                <w:rFonts w:cs="Times New Roman"/>
              </w:rPr>
            </w:pPr>
            <w:r>
              <w:rPr>
                <w:rFonts w:cs="Times New Roman"/>
              </w:rPr>
              <w:t>Public Administration</w:t>
            </w:r>
          </w:p>
        </w:tc>
        <w:tc>
          <w:tcPr>
            <w:tcW w:w="2914" w:type="dxa"/>
          </w:tcPr>
          <w:p w14:paraId="71E27FE7">
            <w:pPr>
              <w:tabs>
                <w:tab w:val="left" w:pos="220"/>
              </w:tabs>
              <w:rPr>
                <w:rFonts w:cs="Times New Roman"/>
              </w:rPr>
            </w:pPr>
            <w:r>
              <w:rPr>
                <w:rFonts w:cs="Times New Roman"/>
              </w:rPr>
              <w:t>Local Government and Elusive Rural Development in Nigeria: Constraints on Local Authorities Capacity and the Promise of Decentralized Participatory Development (75pp)</w:t>
            </w:r>
          </w:p>
        </w:tc>
        <w:tc>
          <w:tcPr>
            <w:tcW w:w="1226" w:type="dxa"/>
          </w:tcPr>
          <w:p w14:paraId="1951BE20">
            <w:pPr>
              <w:tabs>
                <w:tab w:val="left" w:pos="220"/>
              </w:tabs>
              <w:rPr>
                <w:rFonts w:cs="Times New Roman"/>
              </w:rPr>
            </w:pPr>
            <w:r>
              <w:rPr>
                <w:rFonts w:cs="Times New Roman"/>
              </w:rPr>
              <w:t>26</w:t>
            </w:r>
            <w:r>
              <w:rPr>
                <w:rFonts w:cs="Times New Roman"/>
                <w:vertAlign w:val="superscript"/>
              </w:rPr>
              <w:t>th</w:t>
            </w:r>
            <w:r>
              <w:rPr>
                <w:rFonts w:cs="Times New Roman"/>
              </w:rPr>
              <w:t xml:space="preserve"> Jun., 2008</w:t>
            </w:r>
          </w:p>
        </w:tc>
      </w:tr>
      <w:tr w14:paraId="7CA0F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08BC6576">
            <w:pPr>
              <w:tabs>
                <w:tab w:val="left" w:pos="220"/>
              </w:tabs>
              <w:rPr>
                <w:rFonts w:cs="Times New Roman"/>
              </w:rPr>
            </w:pPr>
            <w:r>
              <w:rPr>
                <w:rFonts w:cs="Times New Roman"/>
              </w:rPr>
              <w:t>32</w:t>
            </w:r>
          </w:p>
        </w:tc>
        <w:tc>
          <w:tcPr>
            <w:tcW w:w="3131" w:type="dxa"/>
          </w:tcPr>
          <w:p w14:paraId="3E8D1B23">
            <w:pPr>
              <w:tabs>
                <w:tab w:val="left" w:pos="220"/>
              </w:tabs>
              <w:rPr>
                <w:rFonts w:cs="Times New Roman"/>
              </w:rPr>
            </w:pPr>
            <w:r>
              <w:rPr>
                <w:rFonts w:cs="Times New Roman"/>
              </w:rPr>
              <w:t>Prof. Sinatra Ohiokhia John Ojo; B.Sc; M.Sc; PhD (Benin)</w:t>
            </w:r>
          </w:p>
        </w:tc>
        <w:tc>
          <w:tcPr>
            <w:tcW w:w="1549" w:type="dxa"/>
          </w:tcPr>
          <w:p w14:paraId="4656DB31">
            <w:pPr>
              <w:tabs>
                <w:tab w:val="left" w:pos="220"/>
              </w:tabs>
              <w:rPr>
                <w:rFonts w:cs="Times New Roman"/>
              </w:rPr>
            </w:pPr>
            <w:r>
              <w:rPr>
                <w:rFonts w:cs="Times New Roman"/>
              </w:rPr>
              <w:t>Political Science</w:t>
            </w:r>
          </w:p>
        </w:tc>
        <w:tc>
          <w:tcPr>
            <w:tcW w:w="2914" w:type="dxa"/>
          </w:tcPr>
          <w:p w14:paraId="0D23B99A">
            <w:pPr>
              <w:tabs>
                <w:tab w:val="left" w:pos="220"/>
              </w:tabs>
              <w:rPr>
                <w:rFonts w:cs="Times New Roman"/>
              </w:rPr>
            </w:pPr>
            <w:r>
              <w:rPr>
                <w:rFonts w:cs="Times New Roman"/>
              </w:rPr>
              <w:t>Promise and Performance of Democracy in Nigeria: Irony and Fictiveness (71pp)</w:t>
            </w:r>
          </w:p>
        </w:tc>
        <w:tc>
          <w:tcPr>
            <w:tcW w:w="1226" w:type="dxa"/>
          </w:tcPr>
          <w:p w14:paraId="2E93F168">
            <w:pPr>
              <w:tabs>
                <w:tab w:val="left" w:pos="220"/>
              </w:tabs>
              <w:rPr>
                <w:rFonts w:cs="Times New Roman"/>
              </w:rPr>
            </w:pPr>
            <w:r>
              <w:rPr>
                <w:rFonts w:cs="Times New Roman"/>
              </w:rPr>
              <w:t>27</w:t>
            </w:r>
            <w:r>
              <w:rPr>
                <w:rFonts w:cs="Times New Roman"/>
                <w:vertAlign w:val="superscript"/>
              </w:rPr>
              <w:t>th</w:t>
            </w:r>
            <w:r>
              <w:rPr>
                <w:rFonts w:cs="Times New Roman"/>
              </w:rPr>
              <w:t xml:space="preserve"> Nov., 2008</w:t>
            </w:r>
          </w:p>
        </w:tc>
      </w:tr>
      <w:tr w14:paraId="4C3A9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625" w:type="dxa"/>
          </w:tcPr>
          <w:p w14:paraId="4786ABBE">
            <w:pPr>
              <w:tabs>
                <w:tab w:val="left" w:pos="220"/>
              </w:tabs>
              <w:rPr>
                <w:rFonts w:cs="Times New Roman"/>
              </w:rPr>
            </w:pPr>
            <w:r>
              <w:rPr>
                <w:rFonts w:cs="Times New Roman"/>
              </w:rPr>
              <w:t>33</w:t>
            </w:r>
          </w:p>
        </w:tc>
        <w:tc>
          <w:tcPr>
            <w:tcW w:w="3131" w:type="dxa"/>
          </w:tcPr>
          <w:p w14:paraId="14777C0E">
            <w:pPr>
              <w:tabs>
                <w:tab w:val="left" w:pos="220"/>
              </w:tabs>
              <w:rPr>
                <w:rFonts w:cs="Times New Roman"/>
              </w:rPr>
            </w:pPr>
            <w:r>
              <w:rPr>
                <w:rFonts w:cs="Times New Roman"/>
              </w:rPr>
              <w:t>Prof. A. U. Umoru; B.Sc (Ibadan); M.Sc (Ife); PhD (Leeds)</w:t>
            </w:r>
          </w:p>
        </w:tc>
        <w:tc>
          <w:tcPr>
            <w:tcW w:w="1549" w:type="dxa"/>
          </w:tcPr>
          <w:p w14:paraId="46DEEB5E">
            <w:pPr>
              <w:tabs>
                <w:tab w:val="left" w:pos="220"/>
              </w:tabs>
              <w:rPr>
                <w:rFonts w:cs="Times New Roman"/>
              </w:rPr>
            </w:pPr>
            <w:r>
              <w:rPr>
                <w:rFonts w:cs="Times New Roman"/>
              </w:rPr>
              <w:t>Zoology</w:t>
            </w:r>
          </w:p>
        </w:tc>
        <w:tc>
          <w:tcPr>
            <w:tcW w:w="2914" w:type="dxa"/>
          </w:tcPr>
          <w:p w14:paraId="70F85D85">
            <w:pPr>
              <w:tabs>
                <w:tab w:val="left" w:pos="220"/>
              </w:tabs>
              <w:rPr>
                <w:rFonts w:cs="Times New Roman"/>
              </w:rPr>
            </w:pPr>
            <w:r>
              <w:rPr>
                <w:rFonts w:cs="Times New Roman"/>
              </w:rPr>
              <w:t>Insects, Crops and Insecticides (96pp)</w:t>
            </w:r>
          </w:p>
        </w:tc>
        <w:tc>
          <w:tcPr>
            <w:tcW w:w="1226" w:type="dxa"/>
          </w:tcPr>
          <w:p w14:paraId="0328B87F">
            <w:pPr>
              <w:tabs>
                <w:tab w:val="left" w:pos="220"/>
              </w:tabs>
              <w:rPr>
                <w:rFonts w:cs="Times New Roman"/>
              </w:rPr>
            </w:pPr>
            <w:r>
              <w:rPr>
                <w:rFonts w:cs="Times New Roman"/>
              </w:rPr>
              <w:t>28</w:t>
            </w:r>
            <w:r>
              <w:rPr>
                <w:rFonts w:cs="Times New Roman"/>
                <w:vertAlign w:val="superscript"/>
              </w:rPr>
              <w:t>th</w:t>
            </w:r>
            <w:r>
              <w:rPr>
                <w:rFonts w:cs="Times New Roman"/>
              </w:rPr>
              <w:t xml:space="preserve"> Mar., 2009</w:t>
            </w:r>
          </w:p>
        </w:tc>
      </w:tr>
      <w:tr w14:paraId="7F175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F1835E1">
            <w:pPr>
              <w:tabs>
                <w:tab w:val="left" w:pos="220"/>
              </w:tabs>
              <w:rPr>
                <w:rFonts w:cs="Times New Roman"/>
              </w:rPr>
            </w:pPr>
            <w:r>
              <w:rPr>
                <w:rFonts w:cs="Times New Roman"/>
              </w:rPr>
              <w:t>34</w:t>
            </w:r>
          </w:p>
        </w:tc>
        <w:tc>
          <w:tcPr>
            <w:tcW w:w="3131" w:type="dxa"/>
          </w:tcPr>
          <w:p w14:paraId="5ED7E2D6">
            <w:pPr>
              <w:tabs>
                <w:tab w:val="left" w:pos="220"/>
              </w:tabs>
              <w:rPr>
                <w:rFonts w:cs="Times New Roman"/>
              </w:rPr>
            </w:pPr>
            <w:r>
              <w:rPr>
                <w:rFonts w:cs="Times New Roman"/>
              </w:rPr>
              <w:t>Prof. E. E. Okoegwale; B.Sc (Calabar); M.Sc (Ibadan); PhD (Ibadan)</w:t>
            </w:r>
          </w:p>
        </w:tc>
        <w:tc>
          <w:tcPr>
            <w:tcW w:w="1549" w:type="dxa"/>
          </w:tcPr>
          <w:p w14:paraId="1B260D60">
            <w:pPr>
              <w:tabs>
                <w:tab w:val="left" w:pos="220"/>
              </w:tabs>
              <w:rPr>
                <w:rFonts w:cs="Times New Roman"/>
              </w:rPr>
            </w:pPr>
            <w:r>
              <w:rPr>
                <w:rFonts w:cs="Times New Roman"/>
              </w:rPr>
              <w:t>Botany</w:t>
            </w:r>
          </w:p>
        </w:tc>
        <w:tc>
          <w:tcPr>
            <w:tcW w:w="2914" w:type="dxa"/>
          </w:tcPr>
          <w:p w14:paraId="1DDBE95A">
            <w:pPr>
              <w:tabs>
                <w:tab w:val="left" w:pos="220"/>
              </w:tabs>
              <w:rPr>
                <w:rFonts w:cs="Times New Roman"/>
              </w:rPr>
            </w:pPr>
            <w:r>
              <w:rPr>
                <w:rFonts w:cs="Times New Roman"/>
              </w:rPr>
              <w:t>Plants in the Service for Man (52pp)</w:t>
            </w:r>
          </w:p>
        </w:tc>
        <w:tc>
          <w:tcPr>
            <w:tcW w:w="1226" w:type="dxa"/>
          </w:tcPr>
          <w:p w14:paraId="1893F47E">
            <w:pPr>
              <w:tabs>
                <w:tab w:val="left" w:pos="220"/>
              </w:tabs>
              <w:rPr>
                <w:rFonts w:cs="Times New Roman"/>
              </w:rPr>
            </w:pPr>
            <w:r>
              <w:rPr>
                <w:rFonts w:cs="Times New Roman"/>
              </w:rPr>
              <w:t>25</w:t>
            </w:r>
            <w:r>
              <w:rPr>
                <w:rFonts w:cs="Times New Roman"/>
                <w:vertAlign w:val="superscript"/>
              </w:rPr>
              <w:t>th</w:t>
            </w:r>
            <w:r>
              <w:rPr>
                <w:rFonts w:cs="Times New Roman"/>
              </w:rPr>
              <w:t xml:space="preserve"> Mar., 2010</w:t>
            </w:r>
          </w:p>
        </w:tc>
      </w:tr>
      <w:tr w14:paraId="119F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D154EB8">
            <w:pPr>
              <w:tabs>
                <w:tab w:val="left" w:pos="220"/>
              </w:tabs>
              <w:rPr>
                <w:rFonts w:cs="Times New Roman"/>
              </w:rPr>
            </w:pPr>
            <w:r>
              <w:rPr>
                <w:rFonts w:cs="Times New Roman"/>
              </w:rPr>
              <w:t>35</w:t>
            </w:r>
          </w:p>
        </w:tc>
        <w:tc>
          <w:tcPr>
            <w:tcW w:w="3131" w:type="dxa"/>
          </w:tcPr>
          <w:p w14:paraId="7579BA4A">
            <w:pPr>
              <w:tabs>
                <w:tab w:val="left" w:pos="220"/>
              </w:tabs>
              <w:rPr>
                <w:rFonts w:cs="Times New Roman"/>
              </w:rPr>
            </w:pPr>
            <w:r>
              <w:rPr>
                <w:rFonts w:cs="Times New Roman"/>
              </w:rPr>
              <w:t>Prof. F. E. Egharevba; M.Sc; PhD (Ibadan)</w:t>
            </w:r>
          </w:p>
        </w:tc>
        <w:tc>
          <w:tcPr>
            <w:tcW w:w="1549" w:type="dxa"/>
          </w:tcPr>
          <w:p w14:paraId="59EC93BB">
            <w:pPr>
              <w:tabs>
                <w:tab w:val="left" w:pos="220"/>
              </w:tabs>
              <w:rPr>
                <w:rFonts w:cs="Times New Roman"/>
              </w:rPr>
            </w:pPr>
            <w:r>
              <w:rPr>
                <w:rFonts w:cs="Times New Roman"/>
              </w:rPr>
              <w:t>Chemistry</w:t>
            </w:r>
          </w:p>
        </w:tc>
        <w:tc>
          <w:tcPr>
            <w:tcW w:w="2914" w:type="dxa"/>
          </w:tcPr>
          <w:p w14:paraId="63EC47AB">
            <w:pPr>
              <w:tabs>
                <w:tab w:val="left" w:pos="220"/>
              </w:tabs>
              <w:rPr>
                <w:rFonts w:cs="Times New Roman"/>
              </w:rPr>
            </w:pPr>
            <w:r>
              <w:rPr>
                <w:rFonts w:cs="Times New Roman"/>
              </w:rPr>
              <w:t>Chemistry and Quest for Discovery and Innovations (52pp)</w:t>
            </w:r>
          </w:p>
        </w:tc>
        <w:tc>
          <w:tcPr>
            <w:tcW w:w="1226" w:type="dxa"/>
          </w:tcPr>
          <w:p w14:paraId="7A866A0C">
            <w:pPr>
              <w:tabs>
                <w:tab w:val="left" w:pos="220"/>
              </w:tabs>
              <w:rPr>
                <w:rFonts w:cs="Times New Roman"/>
              </w:rPr>
            </w:pPr>
            <w:r>
              <w:rPr>
                <w:rFonts w:cs="Times New Roman"/>
              </w:rPr>
              <w:t>27</w:t>
            </w:r>
            <w:r>
              <w:rPr>
                <w:rFonts w:cs="Times New Roman"/>
                <w:vertAlign w:val="superscript"/>
              </w:rPr>
              <w:t>th</w:t>
            </w:r>
            <w:r>
              <w:rPr>
                <w:rFonts w:cs="Times New Roman"/>
              </w:rPr>
              <w:t xml:space="preserve"> May, 2010</w:t>
            </w:r>
          </w:p>
        </w:tc>
      </w:tr>
      <w:tr w14:paraId="22F15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25DB0FFA">
            <w:pPr>
              <w:tabs>
                <w:tab w:val="left" w:pos="220"/>
              </w:tabs>
              <w:rPr>
                <w:rFonts w:cs="Times New Roman"/>
              </w:rPr>
            </w:pPr>
            <w:r>
              <w:rPr>
                <w:rFonts w:cs="Times New Roman"/>
              </w:rPr>
              <w:t>36</w:t>
            </w:r>
          </w:p>
        </w:tc>
        <w:tc>
          <w:tcPr>
            <w:tcW w:w="3131" w:type="dxa"/>
          </w:tcPr>
          <w:p w14:paraId="6000B8A5">
            <w:pPr>
              <w:tabs>
                <w:tab w:val="left" w:pos="220"/>
              </w:tabs>
              <w:rPr>
                <w:rFonts w:cs="Times New Roman"/>
              </w:rPr>
            </w:pPr>
            <w:r>
              <w:rPr>
                <w:rFonts w:cs="Times New Roman"/>
              </w:rPr>
              <w:t>Prof. A. O. Onigbinde; B.Sc (Ife); M.Sc; PhD (Ibadan)</w:t>
            </w:r>
          </w:p>
        </w:tc>
        <w:tc>
          <w:tcPr>
            <w:tcW w:w="1549" w:type="dxa"/>
          </w:tcPr>
          <w:p w14:paraId="16B86F15">
            <w:pPr>
              <w:tabs>
                <w:tab w:val="left" w:pos="220"/>
              </w:tabs>
              <w:rPr>
                <w:rFonts w:cs="Times New Roman"/>
              </w:rPr>
            </w:pPr>
            <w:r>
              <w:rPr>
                <w:rFonts w:cs="Times New Roman"/>
              </w:rPr>
              <w:t>Biochemistry</w:t>
            </w:r>
          </w:p>
        </w:tc>
        <w:tc>
          <w:tcPr>
            <w:tcW w:w="2914" w:type="dxa"/>
          </w:tcPr>
          <w:p w14:paraId="3C8A23A3">
            <w:pPr>
              <w:tabs>
                <w:tab w:val="left" w:pos="220"/>
              </w:tabs>
              <w:rPr>
                <w:rFonts w:cs="Times New Roman"/>
              </w:rPr>
            </w:pPr>
            <w:r>
              <w:rPr>
                <w:rFonts w:cs="Times New Roman"/>
              </w:rPr>
              <w:t>Out of the Garden of Eden: Biochemical Pathway (42pp)</w:t>
            </w:r>
          </w:p>
        </w:tc>
        <w:tc>
          <w:tcPr>
            <w:tcW w:w="1226" w:type="dxa"/>
          </w:tcPr>
          <w:p w14:paraId="1A860819">
            <w:pPr>
              <w:tabs>
                <w:tab w:val="left" w:pos="220"/>
              </w:tabs>
              <w:rPr>
                <w:rFonts w:cs="Times New Roman"/>
              </w:rPr>
            </w:pPr>
            <w:r>
              <w:rPr>
                <w:rFonts w:cs="Times New Roman"/>
              </w:rPr>
              <w:t>29</w:t>
            </w:r>
            <w:r>
              <w:rPr>
                <w:rFonts w:cs="Times New Roman"/>
                <w:vertAlign w:val="superscript"/>
              </w:rPr>
              <w:t>th</w:t>
            </w:r>
            <w:r>
              <w:rPr>
                <w:rFonts w:cs="Times New Roman"/>
              </w:rPr>
              <w:t xml:space="preserve"> Jul., 2010</w:t>
            </w:r>
          </w:p>
        </w:tc>
      </w:tr>
      <w:tr w14:paraId="6F88D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625" w:type="dxa"/>
          </w:tcPr>
          <w:p w14:paraId="20E6C938">
            <w:pPr>
              <w:tabs>
                <w:tab w:val="left" w:pos="220"/>
              </w:tabs>
              <w:rPr>
                <w:rFonts w:cs="Times New Roman"/>
              </w:rPr>
            </w:pPr>
            <w:r>
              <w:rPr>
                <w:rFonts w:cs="Times New Roman"/>
              </w:rPr>
              <w:t>37</w:t>
            </w:r>
          </w:p>
        </w:tc>
        <w:tc>
          <w:tcPr>
            <w:tcW w:w="3131" w:type="dxa"/>
          </w:tcPr>
          <w:p w14:paraId="50C21D0B">
            <w:pPr>
              <w:tabs>
                <w:tab w:val="left" w:pos="220"/>
              </w:tabs>
              <w:rPr>
                <w:rFonts w:cs="Times New Roman"/>
              </w:rPr>
            </w:pPr>
            <w:r>
              <w:rPr>
                <w:rFonts w:cs="Times New Roman"/>
              </w:rPr>
              <w:t>Prof. P. O. Onolenmenmen; B.Sc (Maiduguri); M.Sc (ABU); PhD (Bensu)</w:t>
            </w:r>
          </w:p>
        </w:tc>
        <w:tc>
          <w:tcPr>
            <w:tcW w:w="1549" w:type="dxa"/>
          </w:tcPr>
          <w:p w14:paraId="41E11593">
            <w:pPr>
              <w:tabs>
                <w:tab w:val="left" w:pos="220"/>
              </w:tabs>
              <w:rPr>
                <w:rFonts w:cs="Times New Roman"/>
              </w:rPr>
            </w:pPr>
            <w:r>
              <w:rPr>
                <w:rFonts w:cs="Times New Roman"/>
              </w:rPr>
              <w:t>Crop Science</w:t>
            </w:r>
          </w:p>
        </w:tc>
        <w:tc>
          <w:tcPr>
            <w:tcW w:w="2914" w:type="dxa"/>
          </w:tcPr>
          <w:p w14:paraId="7305756D">
            <w:pPr>
              <w:tabs>
                <w:tab w:val="left" w:pos="220"/>
              </w:tabs>
              <w:rPr>
                <w:rFonts w:cs="Times New Roman"/>
              </w:rPr>
            </w:pPr>
            <w:r>
              <w:rPr>
                <w:rFonts w:cs="Times New Roman"/>
              </w:rPr>
              <w:t>Etymology: A Missing Link in Our Search for Food Security (60pp)</w:t>
            </w:r>
          </w:p>
        </w:tc>
        <w:tc>
          <w:tcPr>
            <w:tcW w:w="1226" w:type="dxa"/>
          </w:tcPr>
          <w:p w14:paraId="3376CC50">
            <w:pPr>
              <w:tabs>
                <w:tab w:val="left" w:pos="220"/>
              </w:tabs>
              <w:rPr>
                <w:rFonts w:cs="Times New Roman"/>
              </w:rPr>
            </w:pPr>
            <w:r>
              <w:rPr>
                <w:rFonts w:cs="Times New Roman"/>
              </w:rPr>
              <w:t>28</w:t>
            </w:r>
            <w:r>
              <w:rPr>
                <w:rFonts w:cs="Times New Roman"/>
                <w:vertAlign w:val="superscript"/>
              </w:rPr>
              <w:t>th</w:t>
            </w:r>
            <w:r>
              <w:rPr>
                <w:rFonts w:cs="Times New Roman"/>
              </w:rPr>
              <w:t xml:space="preserve"> Oct., 2010</w:t>
            </w:r>
          </w:p>
        </w:tc>
      </w:tr>
      <w:tr w14:paraId="67CFA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625" w:type="dxa"/>
          </w:tcPr>
          <w:p w14:paraId="702C8402">
            <w:pPr>
              <w:tabs>
                <w:tab w:val="left" w:pos="220"/>
              </w:tabs>
              <w:rPr>
                <w:rFonts w:cs="Times New Roman"/>
              </w:rPr>
            </w:pPr>
            <w:r>
              <w:rPr>
                <w:rFonts w:cs="Times New Roman"/>
              </w:rPr>
              <w:t>38</w:t>
            </w:r>
          </w:p>
        </w:tc>
        <w:tc>
          <w:tcPr>
            <w:tcW w:w="3131" w:type="dxa"/>
          </w:tcPr>
          <w:p w14:paraId="76D12341">
            <w:pPr>
              <w:tabs>
                <w:tab w:val="left" w:pos="220"/>
              </w:tabs>
              <w:rPr>
                <w:rFonts w:cs="Times New Roman"/>
              </w:rPr>
            </w:pPr>
            <w:r>
              <w:rPr>
                <w:rFonts w:cs="Times New Roman"/>
              </w:rPr>
              <w:t>Prof. R. O. A. Aluede; B.Ed; M.Ed (Benin); PhD (Portharcourt)</w:t>
            </w:r>
          </w:p>
        </w:tc>
        <w:tc>
          <w:tcPr>
            <w:tcW w:w="1549" w:type="dxa"/>
          </w:tcPr>
          <w:p w14:paraId="50426F6C">
            <w:pPr>
              <w:tabs>
                <w:tab w:val="left" w:pos="220"/>
              </w:tabs>
              <w:rPr>
                <w:rFonts w:cs="Times New Roman"/>
              </w:rPr>
            </w:pPr>
            <w:r>
              <w:rPr>
                <w:rFonts w:cs="Times New Roman"/>
              </w:rPr>
              <w:t>Education</w:t>
            </w:r>
          </w:p>
        </w:tc>
        <w:tc>
          <w:tcPr>
            <w:tcW w:w="2914" w:type="dxa"/>
          </w:tcPr>
          <w:p w14:paraId="1FB950FC">
            <w:pPr>
              <w:tabs>
                <w:tab w:val="left" w:pos="220"/>
              </w:tabs>
              <w:rPr>
                <w:rFonts w:cs="Times New Roman"/>
              </w:rPr>
            </w:pPr>
            <w:r>
              <w:rPr>
                <w:rFonts w:cs="Times New Roman"/>
              </w:rPr>
              <w:t>Balancing Educational Imbalance: The Nigeria Experience (53pp)</w:t>
            </w:r>
          </w:p>
        </w:tc>
        <w:tc>
          <w:tcPr>
            <w:tcW w:w="1226" w:type="dxa"/>
          </w:tcPr>
          <w:p w14:paraId="2364A9B7">
            <w:pPr>
              <w:tabs>
                <w:tab w:val="left" w:pos="220"/>
              </w:tabs>
              <w:rPr>
                <w:rFonts w:cs="Times New Roman"/>
              </w:rPr>
            </w:pPr>
            <w:r>
              <w:rPr>
                <w:rFonts w:cs="Times New Roman"/>
              </w:rPr>
              <w:t>27</w:t>
            </w:r>
            <w:r>
              <w:rPr>
                <w:rFonts w:cs="Times New Roman"/>
                <w:vertAlign w:val="superscript"/>
              </w:rPr>
              <w:t>th</w:t>
            </w:r>
            <w:r>
              <w:rPr>
                <w:rFonts w:cs="Times New Roman"/>
              </w:rPr>
              <w:t xml:space="preserve"> Jan., 2011</w:t>
            </w:r>
          </w:p>
        </w:tc>
      </w:tr>
      <w:tr w14:paraId="0133D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244581F7">
            <w:pPr>
              <w:tabs>
                <w:tab w:val="left" w:pos="220"/>
              </w:tabs>
              <w:rPr>
                <w:rFonts w:cs="Times New Roman"/>
              </w:rPr>
            </w:pPr>
            <w:r>
              <w:rPr>
                <w:rFonts w:cs="Times New Roman"/>
              </w:rPr>
              <w:t>39</w:t>
            </w:r>
          </w:p>
        </w:tc>
        <w:tc>
          <w:tcPr>
            <w:tcW w:w="3131" w:type="dxa"/>
          </w:tcPr>
          <w:p w14:paraId="19979C9A">
            <w:pPr>
              <w:tabs>
                <w:tab w:val="left" w:pos="220"/>
              </w:tabs>
              <w:rPr>
                <w:rFonts w:cs="Times New Roman"/>
              </w:rPr>
            </w:pPr>
            <w:r>
              <w:rPr>
                <w:rFonts w:cs="Times New Roman"/>
              </w:rPr>
              <w:t>Prof. A. D. Badaki; B. A Hons (Jos); LLB Hons (Bensu); B.L. (Lagos); LLM (Bensu); M.A; PhD (Ibadan)</w:t>
            </w:r>
          </w:p>
        </w:tc>
        <w:tc>
          <w:tcPr>
            <w:tcW w:w="1549" w:type="dxa"/>
          </w:tcPr>
          <w:p w14:paraId="685F7870">
            <w:pPr>
              <w:tabs>
                <w:tab w:val="left" w:pos="220"/>
              </w:tabs>
              <w:rPr>
                <w:rFonts w:cs="Times New Roman"/>
              </w:rPr>
            </w:pPr>
            <w:r>
              <w:rPr>
                <w:rFonts w:cs="Times New Roman"/>
              </w:rPr>
              <w:t>Law</w:t>
            </w:r>
          </w:p>
        </w:tc>
        <w:tc>
          <w:tcPr>
            <w:tcW w:w="2914" w:type="dxa"/>
          </w:tcPr>
          <w:p w14:paraId="319C5F3E">
            <w:pPr>
              <w:tabs>
                <w:tab w:val="left" w:pos="220"/>
              </w:tabs>
              <w:rPr>
                <w:rFonts w:cs="Times New Roman"/>
              </w:rPr>
            </w:pPr>
            <w:r>
              <w:rPr>
                <w:rFonts w:cs="Times New Roman"/>
              </w:rPr>
              <w:t>Interpretation of Stature: The Letter or Spirit of the Law (100pp)</w:t>
            </w:r>
          </w:p>
        </w:tc>
        <w:tc>
          <w:tcPr>
            <w:tcW w:w="1226" w:type="dxa"/>
          </w:tcPr>
          <w:p w14:paraId="56FE9F58">
            <w:pPr>
              <w:tabs>
                <w:tab w:val="left" w:pos="220"/>
              </w:tabs>
              <w:rPr>
                <w:rFonts w:cs="Times New Roman"/>
              </w:rPr>
            </w:pPr>
            <w:r>
              <w:rPr>
                <w:rFonts w:cs="Times New Roman"/>
              </w:rPr>
              <w:t>31</w:t>
            </w:r>
            <w:r>
              <w:rPr>
                <w:rFonts w:cs="Times New Roman"/>
                <w:vertAlign w:val="superscript"/>
              </w:rPr>
              <w:t>st</w:t>
            </w:r>
            <w:r>
              <w:rPr>
                <w:rFonts w:cs="Times New Roman"/>
              </w:rPr>
              <w:t xml:space="preserve"> Mar., 2011</w:t>
            </w:r>
          </w:p>
        </w:tc>
      </w:tr>
      <w:tr w14:paraId="3F084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D4A5B98">
            <w:pPr>
              <w:tabs>
                <w:tab w:val="left" w:pos="220"/>
              </w:tabs>
              <w:rPr>
                <w:rFonts w:cs="Times New Roman"/>
              </w:rPr>
            </w:pPr>
            <w:r>
              <w:rPr>
                <w:rFonts w:cs="Times New Roman"/>
              </w:rPr>
              <w:t>40</w:t>
            </w:r>
          </w:p>
        </w:tc>
        <w:tc>
          <w:tcPr>
            <w:tcW w:w="3131" w:type="dxa"/>
          </w:tcPr>
          <w:p w14:paraId="68A8A2B8">
            <w:pPr>
              <w:tabs>
                <w:tab w:val="left" w:pos="220"/>
              </w:tabs>
              <w:rPr>
                <w:rFonts w:cs="Times New Roman"/>
              </w:rPr>
            </w:pPr>
            <w:r>
              <w:rPr>
                <w:rFonts w:cs="Times New Roman"/>
              </w:rPr>
              <w:t>Prof. Jude Aigbe Agho; B.A Hons (Bensu); M.A; PhD (Ibadan)</w:t>
            </w:r>
          </w:p>
        </w:tc>
        <w:tc>
          <w:tcPr>
            <w:tcW w:w="1549" w:type="dxa"/>
          </w:tcPr>
          <w:p w14:paraId="2877639B">
            <w:pPr>
              <w:tabs>
                <w:tab w:val="left" w:pos="220"/>
              </w:tabs>
              <w:rPr>
                <w:rFonts w:cs="Times New Roman"/>
              </w:rPr>
            </w:pPr>
            <w:r>
              <w:rPr>
                <w:rFonts w:cs="Times New Roman"/>
              </w:rPr>
              <w:t>English</w:t>
            </w:r>
          </w:p>
        </w:tc>
        <w:tc>
          <w:tcPr>
            <w:tcW w:w="2914" w:type="dxa"/>
          </w:tcPr>
          <w:p w14:paraId="07350754">
            <w:pPr>
              <w:tabs>
                <w:tab w:val="left" w:pos="220"/>
              </w:tabs>
              <w:rPr>
                <w:rFonts w:cs="Times New Roman"/>
              </w:rPr>
            </w:pPr>
            <w:r>
              <w:rPr>
                <w:rFonts w:cs="Times New Roman"/>
              </w:rPr>
              <w:t>From Protest to Assent: Unravelling African Novel as a Protean (44pp)</w:t>
            </w:r>
          </w:p>
        </w:tc>
        <w:tc>
          <w:tcPr>
            <w:tcW w:w="1226" w:type="dxa"/>
          </w:tcPr>
          <w:p w14:paraId="1866E913">
            <w:pPr>
              <w:tabs>
                <w:tab w:val="left" w:pos="220"/>
              </w:tabs>
              <w:rPr>
                <w:rFonts w:cs="Times New Roman"/>
              </w:rPr>
            </w:pPr>
            <w:r>
              <w:rPr>
                <w:rFonts w:cs="Times New Roman"/>
              </w:rPr>
              <w:t>26</w:t>
            </w:r>
            <w:r>
              <w:rPr>
                <w:rFonts w:cs="Times New Roman"/>
                <w:vertAlign w:val="superscript"/>
              </w:rPr>
              <w:t>th</w:t>
            </w:r>
            <w:r>
              <w:rPr>
                <w:rFonts w:cs="Times New Roman"/>
              </w:rPr>
              <w:t xml:space="preserve"> May, 2011</w:t>
            </w:r>
          </w:p>
        </w:tc>
      </w:tr>
      <w:tr w14:paraId="57830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B0A2900">
            <w:pPr>
              <w:tabs>
                <w:tab w:val="left" w:pos="220"/>
              </w:tabs>
              <w:rPr>
                <w:rFonts w:cs="Times New Roman"/>
              </w:rPr>
            </w:pPr>
            <w:r>
              <w:rPr>
                <w:rFonts w:cs="Times New Roman"/>
              </w:rPr>
              <w:t>41</w:t>
            </w:r>
          </w:p>
        </w:tc>
        <w:tc>
          <w:tcPr>
            <w:tcW w:w="3131" w:type="dxa"/>
          </w:tcPr>
          <w:p w14:paraId="0FD3CAE8">
            <w:pPr>
              <w:tabs>
                <w:tab w:val="left" w:pos="220"/>
              </w:tabs>
              <w:rPr>
                <w:rFonts w:cs="Times New Roman"/>
              </w:rPr>
            </w:pPr>
            <w:r>
              <w:rPr>
                <w:rFonts w:cs="Times New Roman"/>
              </w:rPr>
              <w:t>Prof. A. U. Omoregie; B.Sc; M.Sc; PhD (Ibadan)</w:t>
            </w:r>
          </w:p>
        </w:tc>
        <w:tc>
          <w:tcPr>
            <w:tcW w:w="1549" w:type="dxa"/>
          </w:tcPr>
          <w:p w14:paraId="4B1BDAF5">
            <w:pPr>
              <w:tabs>
                <w:tab w:val="left" w:pos="220"/>
              </w:tabs>
              <w:rPr>
                <w:rFonts w:cs="Times New Roman"/>
              </w:rPr>
            </w:pPr>
            <w:r>
              <w:rPr>
                <w:rFonts w:cs="Times New Roman"/>
              </w:rPr>
              <w:t>Crop Science</w:t>
            </w:r>
          </w:p>
        </w:tc>
        <w:tc>
          <w:tcPr>
            <w:tcW w:w="2914" w:type="dxa"/>
          </w:tcPr>
          <w:p w14:paraId="06ABB715">
            <w:pPr>
              <w:tabs>
                <w:tab w:val="left" w:pos="220"/>
              </w:tabs>
              <w:rPr>
                <w:rFonts w:cs="Times New Roman"/>
              </w:rPr>
            </w:pPr>
            <w:r>
              <w:rPr>
                <w:rFonts w:cs="Times New Roman"/>
              </w:rPr>
              <w:t>A Father, Son and their Agriculture: A Bio Agricultural Odyssey (72pp)</w:t>
            </w:r>
          </w:p>
        </w:tc>
        <w:tc>
          <w:tcPr>
            <w:tcW w:w="1226" w:type="dxa"/>
          </w:tcPr>
          <w:p w14:paraId="049B5E73">
            <w:pPr>
              <w:tabs>
                <w:tab w:val="left" w:pos="220"/>
              </w:tabs>
              <w:rPr>
                <w:rFonts w:cs="Times New Roman"/>
              </w:rPr>
            </w:pPr>
            <w:r>
              <w:rPr>
                <w:rFonts w:cs="Times New Roman"/>
              </w:rPr>
              <w:t>30</w:t>
            </w:r>
            <w:r>
              <w:rPr>
                <w:rFonts w:cs="Times New Roman"/>
                <w:vertAlign w:val="superscript"/>
              </w:rPr>
              <w:t>th</w:t>
            </w:r>
            <w:r>
              <w:rPr>
                <w:rFonts w:cs="Times New Roman"/>
              </w:rPr>
              <w:t xml:space="preserve"> Jul., 2011</w:t>
            </w:r>
          </w:p>
        </w:tc>
      </w:tr>
      <w:tr w14:paraId="0095A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59FB99FC">
            <w:pPr>
              <w:tabs>
                <w:tab w:val="left" w:pos="220"/>
              </w:tabs>
              <w:rPr>
                <w:rFonts w:cs="Times New Roman"/>
              </w:rPr>
            </w:pPr>
            <w:r>
              <w:rPr>
                <w:rFonts w:cs="Times New Roman"/>
              </w:rPr>
              <w:t>42</w:t>
            </w:r>
          </w:p>
        </w:tc>
        <w:tc>
          <w:tcPr>
            <w:tcW w:w="3131" w:type="dxa"/>
          </w:tcPr>
          <w:p w14:paraId="244F341C">
            <w:pPr>
              <w:tabs>
                <w:tab w:val="left" w:pos="220"/>
              </w:tabs>
              <w:rPr>
                <w:rFonts w:cs="Times New Roman"/>
              </w:rPr>
            </w:pPr>
            <w:r>
              <w:rPr>
                <w:rFonts w:cs="Times New Roman"/>
              </w:rPr>
              <w:t>Prof. E. F. Alofohai; MBBS (Lagos); FMCS (Nigeria)</w:t>
            </w:r>
          </w:p>
        </w:tc>
        <w:tc>
          <w:tcPr>
            <w:tcW w:w="1549" w:type="dxa"/>
          </w:tcPr>
          <w:p w14:paraId="0D8EEEAA">
            <w:pPr>
              <w:tabs>
                <w:tab w:val="left" w:pos="220"/>
              </w:tabs>
              <w:rPr>
                <w:rFonts w:cs="Times New Roman"/>
              </w:rPr>
            </w:pPr>
            <w:r>
              <w:rPr>
                <w:rFonts w:cs="Times New Roman"/>
              </w:rPr>
              <w:t>Medicine</w:t>
            </w:r>
          </w:p>
        </w:tc>
        <w:tc>
          <w:tcPr>
            <w:tcW w:w="2914" w:type="dxa"/>
          </w:tcPr>
          <w:p w14:paraId="3F66B717">
            <w:pPr>
              <w:tabs>
                <w:tab w:val="left" w:pos="220"/>
              </w:tabs>
              <w:rPr>
                <w:rFonts w:cs="Times New Roman"/>
              </w:rPr>
            </w:pPr>
            <w:r>
              <w:rPr>
                <w:rFonts w:cs="Times New Roman"/>
              </w:rPr>
              <w:t>Surgery in Primary Healthcare: A Boost in the Millennium Development Goals (MDGs) in Developing Countries (59pp)</w:t>
            </w:r>
          </w:p>
        </w:tc>
        <w:tc>
          <w:tcPr>
            <w:tcW w:w="1226" w:type="dxa"/>
          </w:tcPr>
          <w:p w14:paraId="628AC432">
            <w:pPr>
              <w:tabs>
                <w:tab w:val="left" w:pos="220"/>
              </w:tabs>
              <w:rPr>
                <w:rFonts w:cs="Times New Roman"/>
              </w:rPr>
            </w:pPr>
            <w:r>
              <w:rPr>
                <w:rFonts w:cs="Times New Roman"/>
              </w:rPr>
              <w:t>13</w:t>
            </w:r>
            <w:r>
              <w:rPr>
                <w:rFonts w:cs="Times New Roman"/>
                <w:vertAlign w:val="superscript"/>
              </w:rPr>
              <w:t>th</w:t>
            </w:r>
            <w:r>
              <w:rPr>
                <w:rFonts w:cs="Times New Roman"/>
              </w:rPr>
              <w:t xml:space="preserve"> Sept., 2011</w:t>
            </w:r>
          </w:p>
        </w:tc>
      </w:tr>
      <w:tr w14:paraId="5D9A0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07285182">
            <w:pPr>
              <w:tabs>
                <w:tab w:val="left" w:pos="220"/>
              </w:tabs>
              <w:rPr>
                <w:rFonts w:cs="Times New Roman"/>
              </w:rPr>
            </w:pPr>
            <w:r>
              <w:rPr>
                <w:rFonts w:cs="Times New Roman"/>
              </w:rPr>
              <w:t>43</w:t>
            </w:r>
          </w:p>
        </w:tc>
        <w:tc>
          <w:tcPr>
            <w:tcW w:w="3131" w:type="dxa"/>
          </w:tcPr>
          <w:p w14:paraId="30CBA778">
            <w:pPr>
              <w:tabs>
                <w:tab w:val="left" w:pos="220"/>
              </w:tabs>
              <w:rPr>
                <w:rFonts w:cs="Times New Roman"/>
              </w:rPr>
            </w:pPr>
            <w:r>
              <w:rPr>
                <w:rFonts w:cs="Times New Roman"/>
              </w:rPr>
              <w:t xml:space="preserve">Engr. Prof. Ajuwa. I. Christopher; M.Sc (moscow); PhD (Austria); MNSE; R. Engr. (COREN) </w:t>
            </w:r>
          </w:p>
        </w:tc>
        <w:tc>
          <w:tcPr>
            <w:tcW w:w="1549" w:type="dxa"/>
          </w:tcPr>
          <w:p w14:paraId="0FE47143">
            <w:pPr>
              <w:tabs>
                <w:tab w:val="left" w:pos="220"/>
              </w:tabs>
              <w:rPr>
                <w:rFonts w:cs="Times New Roman"/>
              </w:rPr>
            </w:pPr>
            <w:r>
              <w:rPr>
                <w:rFonts w:cs="Times New Roman"/>
              </w:rPr>
              <w:t>Mechanical Engineering</w:t>
            </w:r>
          </w:p>
        </w:tc>
        <w:tc>
          <w:tcPr>
            <w:tcW w:w="2914" w:type="dxa"/>
          </w:tcPr>
          <w:p w14:paraId="49D9DE2F">
            <w:pPr>
              <w:tabs>
                <w:tab w:val="left" w:pos="220"/>
              </w:tabs>
              <w:rPr>
                <w:rFonts w:cs="Times New Roman"/>
              </w:rPr>
            </w:pPr>
            <w:r>
              <w:rPr>
                <w:rFonts w:cs="Times New Roman"/>
              </w:rPr>
              <w:t>Engineering Materials and Mechanical Design: The Foundation of Industrial Development (55pp)</w:t>
            </w:r>
          </w:p>
        </w:tc>
        <w:tc>
          <w:tcPr>
            <w:tcW w:w="1226" w:type="dxa"/>
          </w:tcPr>
          <w:p w14:paraId="462D942B">
            <w:pPr>
              <w:tabs>
                <w:tab w:val="left" w:pos="220"/>
              </w:tabs>
              <w:rPr>
                <w:rFonts w:cs="Times New Roman"/>
              </w:rPr>
            </w:pPr>
            <w:r>
              <w:rPr>
                <w:rFonts w:cs="Times New Roman"/>
              </w:rPr>
              <w:t>24</w:t>
            </w:r>
            <w:r>
              <w:rPr>
                <w:rFonts w:cs="Times New Roman"/>
                <w:vertAlign w:val="superscript"/>
              </w:rPr>
              <w:t>th</w:t>
            </w:r>
            <w:r>
              <w:rPr>
                <w:rFonts w:cs="Times New Roman"/>
              </w:rPr>
              <w:t xml:space="preserve"> Oct., 2011</w:t>
            </w:r>
          </w:p>
        </w:tc>
      </w:tr>
      <w:tr w14:paraId="52C37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8B4E608">
            <w:pPr>
              <w:tabs>
                <w:tab w:val="left" w:pos="220"/>
              </w:tabs>
              <w:rPr>
                <w:rFonts w:cs="Times New Roman"/>
              </w:rPr>
            </w:pPr>
            <w:r>
              <w:rPr>
                <w:rFonts w:cs="Times New Roman"/>
              </w:rPr>
              <w:t>44</w:t>
            </w:r>
          </w:p>
        </w:tc>
        <w:tc>
          <w:tcPr>
            <w:tcW w:w="3131" w:type="dxa"/>
          </w:tcPr>
          <w:p w14:paraId="4EE9A828">
            <w:pPr>
              <w:tabs>
                <w:tab w:val="left" w:pos="220"/>
              </w:tabs>
              <w:rPr>
                <w:rFonts w:cs="Times New Roman"/>
              </w:rPr>
            </w:pPr>
            <w:r>
              <w:rPr>
                <w:rFonts w:cs="Times New Roman"/>
              </w:rPr>
              <w:t>Prof. C. A. Agbebaku; LLB (Bensu); BL (Lagos); LLM (Bensu)</w:t>
            </w:r>
          </w:p>
        </w:tc>
        <w:tc>
          <w:tcPr>
            <w:tcW w:w="1549" w:type="dxa"/>
          </w:tcPr>
          <w:p w14:paraId="74E4EC0E">
            <w:pPr>
              <w:tabs>
                <w:tab w:val="left" w:pos="220"/>
              </w:tabs>
              <w:rPr>
                <w:rFonts w:cs="Times New Roman"/>
              </w:rPr>
            </w:pPr>
            <w:r>
              <w:rPr>
                <w:rFonts w:cs="Times New Roman"/>
              </w:rPr>
              <w:t>Law</w:t>
            </w:r>
          </w:p>
        </w:tc>
        <w:tc>
          <w:tcPr>
            <w:tcW w:w="2914" w:type="dxa"/>
          </w:tcPr>
          <w:p w14:paraId="0D40DA03">
            <w:pPr>
              <w:tabs>
                <w:tab w:val="left" w:pos="220"/>
              </w:tabs>
              <w:rPr>
                <w:rFonts w:cs="Times New Roman"/>
              </w:rPr>
            </w:pPr>
            <w:r>
              <w:rPr>
                <w:rFonts w:cs="Times New Roman"/>
              </w:rPr>
              <w:t>Women’s Right and Gender Equality: A Case of Universalism or Cultural Relativism (73pp)</w:t>
            </w:r>
          </w:p>
        </w:tc>
        <w:tc>
          <w:tcPr>
            <w:tcW w:w="1226" w:type="dxa"/>
          </w:tcPr>
          <w:p w14:paraId="0BF8618F">
            <w:pPr>
              <w:tabs>
                <w:tab w:val="left" w:pos="220"/>
              </w:tabs>
              <w:rPr>
                <w:rFonts w:cs="Times New Roman"/>
              </w:rPr>
            </w:pPr>
            <w:r>
              <w:rPr>
                <w:rFonts w:cs="Times New Roman"/>
              </w:rPr>
              <w:t>30</w:t>
            </w:r>
            <w:r>
              <w:rPr>
                <w:rFonts w:cs="Times New Roman"/>
                <w:vertAlign w:val="superscript"/>
              </w:rPr>
              <w:t>th</w:t>
            </w:r>
            <w:r>
              <w:rPr>
                <w:rFonts w:cs="Times New Roman"/>
              </w:rPr>
              <w:t xml:space="preserve"> Oct., 2012</w:t>
            </w:r>
          </w:p>
        </w:tc>
      </w:tr>
      <w:tr w14:paraId="17C3A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2F65C69A">
            <w:pPr>
              <w:tabs>
                <w:tab w:val="left" w:pos="220"/>
              </w:tabs>
              <w:rPr>
                <w:rFonts w:cs="Times New Roman"/>
              </w:rPr>
            </w:pPr>
            <w:r>
              <w:rPr>
                <w:rFonts w:cs="Times New Roman"/>
              </w:rPr>
              <w:t>45</w:t>
            </w:r>
          </w:p>
        </w:tc>
        <w:tc>
          <w:tcPr>
            <w:tcW w:w="3131" w:type="dxa"/>
          </w:tcPr>
          <w:p w14:paraId="6E80D6C3">
            <w:pPr>
              <w:tabs>
                <w:tab w:val="left" w:pos="220"/>
              </w:tabs>
              <w:rPr>
                <w:rFonts w:cs="Times New Roman"/>
              </w:rPr>
            </w:pPr>
            <w:r>
              <w:rPr>
                <w:rFonts w:cs="Times New Roman"/>
              </w:rPr>
              <w:t>Prof. Ambrose O. O. Ekpu; LLB (Bensu); B.L. (Lagos); LLM (Bensu)</w:t>
            </w:r>
          </w:p>
        </w:tc>
        <w:tc>
          <w:tcPr>
            <w:tcW w:w="1549" w:type="dxa"/>
          </w:tcPr>
          <w:p w14:paraId="5FBBE85B">
            <w:pPr>
              <w:tabs>
                <w:tab w:val="left" w:pos="220"/>
              </w:tabs>
              <w:rPr>
                <w:rFonts w:cs="Times New Roman"/>
              </w:rPr>
            </w:pPr>
            <w:r>
              <w:rPr>
                <w:rFonts w:cs="Times New Roman"/>
              </w:rPr>
              <w:t>Law</w:t>
            </w:r>
          </w:p>
        </w:tc>
        <w:tc>
          <w:tcPr>
            <w:tcW w:w="2914" w:type="dxa"/>
          </w:tcPr>
          <w:p w14:paraId="46CDCC17">
            <w:pPr>
              <w:tabs>
                <w:tab w:val="left" w:pos="220"/>
              </w:tabs>
              <w:rPr>
                <w:rFonts w:cs="Times New Roman"/>
              </w:rPr>
            </w:pPr>
            <w:r>
              <w:rPr>
                <w:rFonts w:cs="Times New Roman"/>
              </w:rPr>
              <w:t>The Pernicious War for Land: What Hope for Armistice (55pp)</w:t>
            </w:r>
          </w:p>
        </w:tc>
        <w:tc>
          <w:tcPr>
            <w:tcW w:w="1226" w:type="dxa"/>
          </w:tcPr>
          <w:p w14:paraId="601B70CF">
            <w:pPr>
              <w:tabs>
                <w:tab w:val="left" w:pos="220"/>
              </w:tabs>
              <w:rPr>
                <w:rFonts w:cs="Times New Roman"/>
              </w:rPr>
            </w:pPr>
            <w:r>
              <w:rPr>
                <w:rFonts w:cs="Times New Roman"/>
              </w:rPr>
              <w:t>28</w:t>
            </w:r>
            <w:r>
              <w:rPr>
                <w:rFonts w:cs="Times New Roman"/>
                <w:vertAlign w:val="superscript"/>
              </w:rPr>
              <w:t>th</w:t>
            </w:r>
            <w:r>
              <w:rPr>
                <w:rFonts w:cs="Times New Roman"/>
              </w:rPr>
              <w:t xml:space="preserve"> Feb., 2013</w:t>
            </w:r>
          </w:p>
        </w:tc>
      </w:tr>
      <w:tr w14:paraId="0461D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835D78F">
            <w:pPr>
              <w:tabs>
                <w:tab w:val="left" w:pos="220"/>
              </w:tabs>
              <w:rPr>
                <w:rFonts w:cs="Times New Roman"/>
              </w:rPr>
            </w:pPr>
            <w:r>
              <w:rPr>
                <w:rFonts w:cs="Times New Roman"/>
              </w:rPr>
              <w:t>46</w:t>
            </w:r>
          </w:p>
        </w:tc>
        <w:tc>
          <w:tcPr>
            <w:tcW w:w="3131" w:type="dxa"/>
          </w:tcPr>
          <w:p w14:paraId="549B5BE5">
            <w:pPr>
              <w:tabs>
                <w:tab w:val="left" w:pos="220"/>
              </w:tabs>
              <w:rPr>
                <w:rFonts w:cs="Times New Roman"/>
              </w:rPr>
            </w:pPr>
            <w:r>
              <w:rPr>
                <w:rFonts w:cs="Times New Roman"/>
              </w:rPr>
              <w:t>Prof. O. P. G. Nmorsi; B.Sc Hons; M.Sc (benin); MD; Dip. In Trop. Med; PhD (Ekpoma)</w:t>
            </w:r>
          </w:p>
        </w:tc>
        <w:tc>
          <w:tcPr>
            <w:tcW w:w="1549" w:type="dxa"/>
          </w:tcPr>
          <w:p w14:paraId="67213CF3">
            <w:pPr>
              <w:tabs>
                <w:tab w:val="left" w:pos="220"/>
              </w:tabs>
              <w:rPr>
                <w:rFonts w:cs="Times New Roman"/>
              </w:rPr>
            </w:pPr>
            <w:r>
              <w:rPr>
                <w:rFonts w:cs="Times New Roman"/>
              </w:rPr>
              <w:t>Zoology</w:t>
            </w:r>
          </w:p>
        </w:tc>
        <w:tc>
          <w:tcPr>
            <w:tcW w:w="2914" w:type="dxa"/>
          </w:tcPr>
          <w:p w14:paraId="012C318A">
            <w:pPr>
              <w:tabs>
                <w:tab w:val="left" w:pos="220"/>
              </w:tabs>
              <w:rPr>
                <w:rFonts w:cs="Times New Roman"/>
              </w:rPr>
            </w:pPr>
            <w:r>
              <w:rPr>
                <w:rFonts w:cs="Times New Roman"/>
              </w:rPr>
              <w:t>The Impact of Parasitic Infection on Longevity of Man (70pp)</w:t>
            </w:r>
          </w:p>
        </w:tc>
        <w:tc>
          <w:tcPr>
            <w:tcW w:w="1226" w:type="dxa"/>
          </w:tcPr>
          <w:p w14:paraId="177526E5">
            <w:pPr>
              <w:tabs>
                <w:tab w:val="left" w:pos="220"/>
              </w:tabs>
              <w:rPr>
                <w:rFonts w:cs="Times New Roman"/>
              </w:rPr>
            </w:pPr>
            <w:r>
              <w:rPr>
                <w:rFonts w:cs="Times New Roman"/>
              </w:rPr>
              <w:t>25</w:t>
            </w:r>
            <w:r>
              <w:rPr>
                <w:rFonts w:cs="Times New Roman"/>
                <w:vertAlign w:val="superscript"/>
              </w:rPr>
              <w:t>th</w:t>
            </w:r>
            <w:r>
              <w:rPr>
                <w:rFonts w:cs="Times New Roman"/>
              </w:rPr>
              <w:t xml:space="preserve"> Apr., 2013</w:t>
            </w:r>
          </w:p>
        </w:tc>
      </w:tr>
      <w:tr w14:paraId="3197D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84EC21F">
            <w:pPr>
              <w:tabs>
                <w:tab w:val="left" w:pos="220"/>
              </w:tabs>
              <w:rPr>
                <w:rFonts w:cs="Times New Roman"/>
              </w:rPr>
            </w:pPr>
            <w:r>
              <w:rPr>
                <w:rFonts w:cs="Times New Roman"/>
              </w:rPr>
              <w:t>47</w:t>
            </w:r>
          </w:p>
        </w:tc>
        <w:tc>
          <w:tcPr>
            <w:tcW w:w="3131" w:type="dxa"/>
          </w:tcPr>
          <w:p w14:paraId="4079FBE9">
            <w:pPr>
              <w:tabs>
                <w:tab w:val="left" w:pos="220"/>
              </w:tabs>
              <w:rPr>
                <w:rFonts w:cs="Times New Roman"/>
              </w:rPr>
            </w:pPr>
            <w:r>
              <w:rPr>
                <w:rFonts w:cs="Times New Roman"/>
              </w:rPr>
              <w:t>Prof. (Mrs). A. O. Ekundayo; B.Sc (Lagos); M.Sc; PhD (Ibadan)</w:t>
            </w:r>
          </w:p>
        </w:tc>
        <w:tc>
          <w:tcPr>
            <w:tcW w:w="1549" w:type="dxa"/>
          </w:tcPr>
          <w:p w14:paraId="22C1F74F">
            <w:pPr>
              <w:tabs>
                <w:tab w:val="left" w:pos="220"/>
              </w:tabs>
              <w:rPr>
                <w:rFonts w:cs="Times New Roman"/>
              </w:rPr>
            </w:pPr>
            <w:r>
              <w:rPr>
                <w:rFonts w:cs="Times New Roman"/>
              </w:rPr>
              <w:t>Microbiology</w:t>
            </w:r>
          </w:p>
        </w:tc>
        <w:tc>
          <w:tcPr>
            <w:tcW w:w="2914" w:type="dxa"/>
          </w:tcPr>
          <w:p w14:paraId="06394720">
            <w:pPr>
              <w:tabs>
                <w:tab w:val="left" w:pos="220"/>
              </w:tabs>
              <w:rPr>
                <w:rFonts w:cs="Times New Roman"/>
              </w:rPr>
            </w:pPr>
            <w:r>
              <w:rPr>
                <w:rFonts w:cs="Times New Roman"/>
              </w:rPr>
              <w:t>Microbial Impact: Gains and Losses (91pp)</w:t>
            </w:r>
          </w:p>
        </w:tc>
        <w:tc>
          <w:tcPr>
            <w:tcW w:w="1226" w:type="dxa"/>
          </w:tcPr>
          <w:p w14:paraId="5E6A5DA8">
            <w:pPr>
              <w:tabs>
                <w:tab w:val="left" w:pos="220"/>
              </w:tabs>
              <w:rPr>
                <w:rFonts w:cs="Times New Roman"/>
              </w:rPr>
            </w:pPr>
            <w:r>
              <w:rPr>
                <w:rFonts w:cs="Times New Roman"/>
              </w:rPr>
              <w:t>27</w:t>
            </w:r>
            <w:r>
              <w:rPr>
                <w:rFonts w:cs="Times New Roman"/>
                <w:vertAlign w:val="superscript"/>
              </w:rPr>
              <w:t>th</w:t>
            </w:r>
            <w:r>
              <w:rPr>
                <w:rFonts w:cs="Times New Roman"/>
              </w:rPr>
              <w:t xml:space="preserve"> Jun., 2013</w:t>
            </w:r>
          </w:p>
        </w:tc>
      </w:tr>
      <w:tr w14:paraId="23847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292DE2C1">
            <w:pPr>
              <w:tabs>
                <w:tab w:val="left" w:pos="220"/>
              </w:tabs>
              <w:rPr>
                <w:rFonts w:cs="Times New Roman"/>
              </w:rPr>
            </w:pPr>
            <w:r>
              <w:rPr>
                <w:rFonts w:cs="Times New Roman"/>
              </w:rPr>
              <w:t>48</w:t>
            </w:r>
          </w:p>
        </w:tc>
        <w:tc>
          <w:tcPr>
            <w:tcW w:w="3131" w:type="dxa"/>
          </w:tcPr>
          <w:p w14:paraId="6060C307">
            <w:pPr>
              <w:tabs>
                <w:tab w:val="left" w:pos="220"/>
              </w:tabs>
              <w:rPr>
                <w:rFonts w:cs="Times New Roman"/>
              </w:rPr>
            </w:pPr>
            <w:r>
              <w:rPr>
                <w:rFonts w:cs="Times New Roman"/>
              </w:rPr>
              <w:t>Prof. (Mrs). C. O. Isiramen; B.Ed (Benin); M.A (Ibadan); PhD (Ekpoma)</w:t>
            </w:r>
          </w:p>
        </w:tc>
        <w:tc>
          <w:tcPr>
            <w:tcW w:w="1549" w:type="dxa"/>
          </w:tcPr>
          <w:p w14:paraId="7B26D73B">
            <w:pPr>
              <w:tabs>
                <w:tab w:val="left" w:pos="220"/>
              </w:tabs>
              <w:rPr>
                <w:rFonts w:cs="Times New Roman"/>
              </w:rPr>
            </w:pPr>
            <w:r>
              <w:rPr>
                <w:rFonts w:cs="Times New Roman"/>
              </w:rPr>
              <w:t>Religion</w:t>
            </w:r>
          </w:p>
        </w:tc>
        <w:tc>
          <w:tcPr>
            <w:tcW w:w="2914" w:type="dxa"/>
          </w:tcPr>
          <w:p w14:paraId="1C1BDDA9">
            <w:pPr>
              <w:tabs>
                <w:tab w:val="left" w:pos="220"/>
              </w:tabs>
              <w:rPr>
                <w:rFonts w:cs="Times New Roman"/>
              </w:rPr>
            </w:pPr>
            <w:r>
              <w:rPr>
                <w:rFonts w:cs="Times New Roman"/>
              </w:rPr>
              <w:t>Single Womanhood and Nowadays Churches in Nigeria: A Haven or a Hoax (104pp)</w:t>
            </w:r>
          </w:p>
        </w:tc>
        <w:tc>
          <w:tcPr>
            <w:tcW w:w="1226" w:type="dxa"/>
          </w:tcPr>
          <w:p w14:paraId="74134D2C">
            <w:pPr>
              <w:tabs>
                <w:tab w:val="left" w:pos="220"/>
              </w:tabs>
              <w:rPr>
                <w:rFonts w:cs="Times New Roman"/>
              </w:rPr>
            </w:pPr>
            <w:r>
              <w:rPr>
                <w:rFonts w:cs="Times New Roman"/>
              </w:rPr>
              <w:t>27</w:t>
            </w:r>
            <w:r>
              <w:rPr>
                <w:rFonts w:cs="Times New Roman"/>
                <w:vertAlign w:val="superscript"/>
              </w:rPr>
              <w:t>th</w:t>
            </w:r>
            <w:r>
              <w:rPr>
                <w:rFonts w:cs="Times New Roman"/>
              </w:rPr>
              <w:t xml:space="preserve"> Nov., 2014</w:t>
            </w:r>
          </w:p>
        </w:tc>
      </w:tr>
      <w:tr w14:paraId="01B63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2B70020D">
            <w:pPr>
              <w:tabs>
                <w:tab w:val="left" w:pos="220"/>
              </w:tabs>
              <w:rPr>
                <w:rFonts w:cs="Times New Roman"/>
              </w:rPr>
            </w:pPr>
            <w:r>
              <w:rPr>
                <w:rFonts w:cs="Times New Roman"/>
              </w:rPr>
              <w:t>49</w:t>
            </w:r>
          </w:p>
        </w:tc>
        <w:tc>
          <w:tcPr>
            <w:tcW w:w="3131" w:type="dxa"/>
          </w:tcPr>
          <w:p w14:paraId="030B7B67">
            <w:pPr>
              <w:tabs>
                <w:tab w:val="left" w:pos="220"/>
              </w:tabs>
              <w:rPr>
                <w:rFonts w:cs="Times New Roman"/>
              </w:rPr>
            </w:pPr>
            <w:r>
              <w:rPr>
                <w:rFonts w:cs="Times New Roman"/>
              </w:rPr>
              <w:t>Prof. Orunminya; MBBS (Jos); FMCS</w:t>
            </w:r>
          </w:p>
        </w:tc>
        <w:tc>
          <w:tcPr>
            <w:tcW w:w="1549" w:type="dxa"/>
          </w:tcPr>
          <w:p w14:paraId="6A89C740">
            <w:pPr>
              <w:tabs>
                <w:tab w:val="left" w:pos="220"/>
              </w:tabs>
              <w:rPr>
                <w:rFonts w:cs="Times New Roman"/>
              </w:rPr>
            </w:pPr>
            <w:r>
              <w:rPr>
                <w:rFonts w:cs="Times New Roman"/>
              </w:rPr>
              <w:t>Medicine</w:t>
            </w:r>
          </w:p>
        </w:tc>
        <w:tc>
          <w:tcPr>
            <w:tcW w:w="2914" w:type="dxa"/>
          </w:tcPr>
          <w:p w14:paraId="42ADE23B">
            <w:pPr>
              <w:tabs>
                <w:tab w:val="left" w:pos="220"/>
              </w:tabs>
              <w:rPr>
                <w:rFonts w:cs="Times New Roman"/>
              </w:rPr>
            </w:pPr>
            <w:r>
              <w:rPr>
                <w:rFonts w:cs="Times New Roman"/>
              </w:rPr>
              <w:t>Problems of Unorthodox Bone Setting</w:t>
            </w:r>
          </w:p>
        </w:tc>
        <w:tc>
          <w:tcPr>
            <w:tcW w:w="1226" w:type="dxa"/>
          </w:tcPr>
          <w:p w14:paraId="23CCC535">
            <w:pPr>
              <w:tabs>
                <w:tab w:val="left" w:pos="220"/>
              </w:tabs>
              <w:rPr>
                <w:rFonts w:cs="Times New Roman"/>
              </w:rPr>
            </w:pPr>
            <w:r>
              <w:rPr>
                <w:rFonts w:cs="Times New Roman"/>
              </w:rPr>
              <w:t>26</w:t>
            </w:r>
            <w:r>
              <w:rPr>
                <w:rFonts w:cs="Times New Roman"/>
                <w:vertAlign w:val="superscript"/>
              </w:rPr>
              <w:t>th</w:t>
            </w:r>
            <w:r>
              <w:rPr>
                <w:rFonts w:cs="Times New Roman"/>
              </w:rPr>
              <w:t xml:space="preserve"> Mar., 2015</w:t>
            </w:r>
          </w:p>
        </w:tc>
      </w:tr>
      <w:tr w14:paraId="0A05E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6A553B1">
            <w:pPr>
              <w:tabs>
                <w:tab w:val="left" w:pos="220"/>
              </w:tabs>
              <w:rPr>
                <w:rFonts w:cs="Times New Roman"/>
              </w:rPr>
            </w:pPr>
            <w:r>
              <w:rPr>
                <w:rFonts w:cs="Times New Roman"/>
              </w:rPr>
              <w:t>50</w:t>
            </w:r>
          </w:p>
        </w:tc>
        <w:tc>
          <w:tcPr>
            <w:tcW w:w="3131" w:type="dxa"/>
          </w:tcPr>
          <w:p w14:paraId="4F88838C">
            <w:pPr>
              <w:tabs>
                <w:tab w:val="left" w:pos="220"/>
              </w:tabs>
              <w:rPr>
                <w:rFonts w:cs="Times New Roman"/>
              </w:rPr>
            </w:pPr>
            <w:r>
              <w:rPr>
                <w:rFonts w:cs="Times New Roman"/>
              </w:rPr>
              <w:t>Prof. E. C. Onwuka; PDGE; M.Sc; PhD (Kiev)</w:t>
            </w:r>
          </w:p>
        </w:tc>
        <w:tc>
          <w:tcPr>
            <w:tcW w:w="1549" w:type="dxa"/>
          </w:tcPr>
          <w:p w14:paraId="432B5EF6">
            <w:pPr>
              <w:tabs>
                <w:tab w:val="left" w:pos="220"/>
              </w:tabs>
              <w:rPr>
                <w:rFonts w:cs="Times New Roman"/>
              </w:rPr>
            </w:pPr>
            <w:r>
              <w:rPr>
                <w:rFonts w:cs="Times New Roman"/>
              </w:rPr>
              <w:t>Economics</w:t>
            </w:r>
          </w:p>
        </w:tc>
        <w:tc>
          <w:tcPr>
            <w:tcW w:w="2914" w:type="dxa"/>
          </w:tcPr>
          <w:p w14:paraId="71E6D9AF">
            <w:pPr>
              <w:tabs>
                <w:tab w:val="left" w:pos="220"/>
              </w:tabs>
              <w:rPr>
                <w:rFonts w:cs="Times New Roman"/>
              </w:rPr>
            </w:pPr>
            <w:r>
              <w:rPr>
                <w:rFonts w:cs="Times New Roman"/>
              </w:rPr>
              <w:t>Contending Without Being Contentious in the World Market: The Tragedy in Africa and its Globalizes in Poverty (62pp)</w:t>
            </w:r>
          </w:p>
        </w:tc>
        <w:tc>
          <w:tcPr>
            <w:tcW w:w="1226" w:type="dxa"/>
          </w:tcPr>
          <w:p w14:paraId="4039F201">
            <w:pPr>
              <w:tabs>
                <w:tab w:val="left" w:pos="220"/>
              </w:tabs>
              <w:rPr>
                <w:rFonts w:cs="Times New Roman"/>
              </w:rPr>
            </w:pPr>
            <w:r>
              <w:rPr>
                <w:rFonts w:cs="Times New Roman"/>
              </w:rPr>
              <w:t>27</w:t>
            </w:r>
            <w:r>
              <w:rPr>
                <w:rFonts w:cs="Times New Roman"/>
                <w:vertAlign w:val="superscript"/>
              </w:rPr>
              <w:t>th</w:t>
            </w:r>
            <w:r>
              <w:rPr>
                <w:rFonts w:cs="Times New Roman"/>
              </w:rPr>
              <w:t xml:space="preserve"> May, 2015</w:t>
            </w:r>
          </w:p>
        </w:tc>
      </w:tr>
      <w:tr w14:paraId="2F542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625" w:type="dxa"/>
          </w:tcPr>
          <w:p w14:paraId="20301BFA">
            <w:pPr>
              <w:tabs>
                <w:tab w:val="left" w:pos="220"/>
              </w:tabs>
              <w:rPr>
                <w:rFonts w:cs="Times New Roman"/>
              </w:rPr>
            </w:pPr>
            <w:r>
              <w:rPr>
                <w:rFonts w:cs="Times New Roman"/>
              </w:rPr>
              <w:t>51</w:t>
            </w:r>
          </w:p>
        </w:tc>
        <w:tc>
          <w:tcPr>
            <w:tcW w:w="3131" w:type="dxa"/>
          </w:tcPr>
          <w:p w14:paraId="70AE1983">
            <w:pPr>
              <w:tabs>
                <w:tab w:val="left" w:pos="220"/>
              </w:tabs>
              <w:rPr>
                <w:rFonts w:cs="Times New Roman"/>
              </w:rPr>
            </w:pPr>
            <w:r>
              <w:rPr>
                <w:rFonts w:cs="Times New Roman"/>
              </w:rPr>
              <w:t>Prof. Maria Ihenata Ekozien; B.Sc PhD. (Benin)</w:t>
            </w:r>
          </w:p>
        </w:tc>
        <w:tc>
          <w:tcPr>
            <w:tcW w:w="1549" w:type="dxa"/>
          </w:tcPr>
          <w:p w14:paraId="6215B2AB">
            <w:pPr>
              <w:tabs>
                <w:tab w:val="left" w:pos="220"/>
              </w:tabs>
              <w:rPr>
                <w:rFonts w:cs="Times New Roman"/>
              </w:rPr>
            </w:pPr>
            <w:r>
              <w:rPr>
                <w:rFonts w:cs="Times New Roman"/>
              </w:rPr>
              <w:t>Microbiology</w:t>
            </w:r>
          </w:p>
        </w:tc>
        <w:tc>
          <w:tcPr>
            <w:tcW w:w="2914" w:type="dxa"/>
          </w:tcPr>
          <w:p w14:paraId="75744287">
            <w:pPr>
              <w:tabs>
                <w:tab w:val="left" w:pos="220"/>
              </w:tabs>
              <w:rPr>
                <w:rFonts w:cs="Times New Roman"/>
              </w:rPr>
            </w:pPr>
            <w:r>
              <w:rPr>
                <w:rFonts w:cs="Times New Roman"/>
              </w:rPr>
              <w:t>The Benign, the Bad and the Beautiful (72pp)</w:t>
            </w:r>
          </w:p>
        </w:tc>
        <w:tc>
          <w:tcPr>
            <w:tcW w:w="1226" w:type="dxa"/>
          </w:tcPr>
          <w:p w14:paraId="08293147">
            <w:pPr>
              <w:tabs>
                <w:tab w:val="left" w:pos="220"/>
              </w:tabs>
              <w:rPr>
                <w:rFonts w:cs="Times New Roman"/>
              </w:rPr>
            </w:pPr>
            <w:r>
              <w:rPr>
                <w:rFonts w:cs="Times New Roman"/>
              </w:rPr>
              <w:t>30</w:t>
            </w:r>
            <w:r>
              <w:rPr>
                <w:rFonts w:cs="Times New Roman"/>
                <w:vertAlign w:val="superscript"/>
              </w:rPr>
              <w:t>th</w:t>
            </w:r>
            <w:r>
              <w:rPr>
                <w:rFonts w:cs="Times New Roman"/>
              </w:rPr>
              <w:t xml:space="preserve"> July, 2015</w:t>
            </w:r>
          </w:p>
        </w:tc>
      </w:tr>
      <w:tr w14:paraId="5F2A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AF1B1E0">
            <w:pPr>
              <w:tabs>
                <w:tab w:val="left" w:pos="220"/>
              </w:tabs>
              <w:rPr>
                <w:rFonts w:cs="Times New Roman"/>
              </w:rPr>
            </w:pPr>
            <w:r>
              <w:rPr>
                <w:rFonts w:cs="Times New Roman"/>
              </w:rPr>
              <w:t>52</w:t>
            </w:r>
          </w:p>
        </w:tc>
        <w:tc>
          <w:tcPr>
            <w:tcW w:w="3131" w:type="dxa"/>
          </w:tcPr>
          <w:p w14:paraId="3541B6DE">
            <w:pPr>
              <w:tabs>
                <w:tab w:val="left" w:pos="220"/>
              </w:tabs>
              <w:rPr>
                <w:rFonts w:cs="Times New Roman"/>
              </w:rPr>
            </w:pPr>
            <w:r>
              <w:rPr>
                <w:rFonts w:cs="Times New Roman"/>
              </w:rPr>
              <w:t>Prof. Victor Amen Uhumwangho; B.A. (Hons), M.A. PhD. (Ekpoma), LLB; BL; PGDE</w:t>
            </w:r>
          </w:p>
        </w:tc>
        <w:tc>
          <w:tcPr>
            <w:tcW w:w="1549" w:type="dxa"/>
          </w:tcPr>
          <w:p w14:paraId="351129FB">
            <w:pPr>
              <w:tabs>
                <w:tab w:val="left" w:pos="220"/>
              </w:tabs>
              <w:rPr>
                <w:rFonts w:cs="Times New Roman"/>
              </w:rPr>
            </w:pPr>
            <w:r>
              <w:rPr>
                <w:rFonts w:cs="Times New Roman"/>
              </w:rPr>
              <w:t>English</w:t>
            </w:r>
          </w:p>
        </w:tc>
        <w:tc>
          <w:tcPr>
            <w:tcW w:w="2914" w:type="dxa"/>
          </w:tcPr>
          <w:p w14:paraId="6E845906">
            <w:pPr>
              <w:tabs>
                <w:tab w:val="left" w:pos="220"/>
              </w:tabs>
              <w:rPr>
                <w:rFonts w:cs="Times New Roman"/>
              </w:rPr>
            </w:pPr>
            <w:r>
              <w:rPr>
                <w:rFonts w:cs="Times New Roman"/>
              </w:rPr>
              <w:t>The Politics of Language (60pp)</w:t>
            </w:r>
          </w:p>
        </w:tc>
        <w:tc>
          <w:tcPr>
            <w:tcW w:w="1226" w:type="dxa"/>
          </w:tcPr>
          <w:p w14:paraId="66582906">
            <w:pPr>
              <w:tabs>
                <w:tab w:val="left" w:pos="220"/>
              </w:tabs>
              <w:rPr>
                <w:rFonts w:cs="Times New Roman"/>
              </w:rPr>
            </w:pPr>
            <w:r>
              <w:rPr>
                <w:rFonts w:cs="Times New Roman"/>
              </w:rPr>
              <w:t>25</w:t>
            </w:r>
            <w:r>
              <w:rPr>
                <w:rFonts w:cs="Times New Roman"/>
                <w:vertAlign w:val="superscript"/>
              </w:rPr>
              <w:t>th</w:t>
            </w:r>
            <w:r>
              <w:rPr>
                <w:rFonts w:cs="Times New Roman"/>
              </w:rPr>
              <w:t xml:space="preserve"> Feb., 2016</w:t>
            </w:r>
          </w:p>
        </w:tc>
      </w:tr>
      <w:tr w14:paraId="001BC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03B2EF5A">
            <w:pPr>
              <w:tabs>
                <w:tab w:val="left" w:pos="220"/>
              </w:tabs>
              <w:rPr>
                <w:rFonts w:cs="Times New Roman"/>
              </w:rPr>
            </w:pPr>
            <w:r>
              <w:rPr>
                <w:rFonts w:cs="Times New Roman"/>
              </w:rPr>
              <w:t>53</w:t>
            </w:r>
          </w:p>
        </w:tc>
        <w:tc>
          <w:tcPr>
            <w:tcW w:w="3131" w:type="dxa"/>
          </w:tcPr>
          <w:p w14:paraId="0295069F">
            <w:pPr>
              <w:tabs>
                <w:tab w:val="left" w:pos="220"/>
              </w:tabs>
              <w:rPr>
                <w:rFonts w:cs="Times New Roman"/>
              </w:rPr>
            </w:pPr>
            <w:r>
              <w:rPr>
                <w:rFonts w:cs="Times New Roman"/>
              </w:rPr>
              <w:t>Prof. A. I. Onimawo; FRHP; FNSH; PhD</w:t>
            </w:r>
          </w:p>
        </w:tc>
        <w:tc>
          <w:tcPr>
            <w:tcW w:w="1549" w:type="dxa"/>
          </w:tcPr>
          <w:p w14:paraId="2A2BBAB5">
            <w:pPr>
              <w:tabs>
                <w:tab w:val="left" w:pos="220"/>
              </w:tabs>
              <w:rPr>
                <w:rFonts w:cs="Times New Roman"/>
              </w:rPr>
            </w:pPr>
            <w:r>
              <w:rPr>
                <w:rFonts w:cs="Times New Roman"/>
              </w:rPr>
              <w:t>Biochemistry</w:t>
            </w:r>
          </w:p>
        </w:tc>
        <w:tc>
          <w:tcPr>
            <w:tcW w:w="2914" w:type="dxa"/>
          </w:tcPr>
          <w:p w14:paraId="6AA68D64">
            <w:pPr>
              <w:tabs>
                <w:tab w:val="left" w:pos="220"/>
              </w:tabs>
              <w:rPr>
                <w:rFonts w:cs="Times New Roman"/>
              </w:rPr>
            </w:pPr>
            <w:r>
              <w:rPr>
                <w:rFonts w:cs="Times New Roman"/>
              </w:rPr>
              <w:t>Nutrition in first 1000 Days of Life: The Genesis and Summit of Human Development (66pp)</w:t>
            </w:r>
          </w:p>
        </w:tc>
        <w:tc>
          <w:tcPr>
            <w:tcW w:w="1226" w:type="dxa"/>
          </w:tcPr>
          <w:p w14:paraId="128B2BCB">
            <w:pPr>
              <w:tabs>
                <w:tab w:val="left" w:pos="220"/>
              </w:tabs>
              <w:rPr>
                <w:rFonts w:cs="Times New Roman"/>
              </w:rPr>
            </w:pPr>
            <w:r>
              <w:rPr>
                <w:rFonts w:cs="Times New Roman"/>
              </w:rPr>
              <w:t>28</w:t>
            </w:r>
            <w:r>
              <w:rPr>
                <w:rFonts w:cs="Times New Roman"/>
                <w:vertAlign w:val="superscript"/>
              </w:rPr>
              <w:t>th</w:t>
            </w:r>
            <w:r>
              <w:rPr>
                <w:rFonts w:cs="Times New Roman"/>
              </w:rPr>
              <w:t xml:space="preserve"> July, 2016</w:t>
            </w:r>
          </w:p>
        </w:tc>
      </w:tr>
      <w:tr w14:paraId="3C26E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45D36DE">
            <w:pPr>
              <w:tabs>
                <w:tab w:val="left" w:pos="220"/>
              </w:tabs>
              <w:rPr>
                <w:rFonts w:cs="Times New Roman"/>
              </w:rPr>
            </w:pPr>
            <w:r>
              <w:rPr>
                <w:rFonts w:cs="Times New Roman"/>
              </w:rPr>
              <w:t>54</w:t>
            </w:r>
          </w:p>
        </w:tc>
        <w:tc>
          <w:tcPr>
            <w:tcW w:w="3131" w:type="dxa"/>
          </w:tcPr>
          <w:p w14:paraId="470ECCE6">
            <w:pPr>
              <w:tabs>
                <w:tab w:val="left" w:pos="220"/>
              </w:tabs>
              <w:rPr>
                <w:rFonts w:cs="Times New Roman"/>
              </w:rPr>
            </w:pPr>
            <w:r>
              <w:rPr>
                <w:rFonts w:cs="Times New Roman"/>
              </w:rPr>
              <w:t xml:space="preserve">Prof. Sylvernus O. Oboh; </w:t>
            </w:r>
          </w:p>
        </w:tc>
        <w:tc>
          <w:tcPr>
            <w:tcW w:w="1549" w:type="dxa"/>
          </w:tcPr>
          <w:p w14:paraId="1DD76B26">
            <w:pPr>
              <w:tabs>
                <w:tab w:val="left" w:pos="220"/>
              </w:tabs>
              <w:rPr>
                <w:rFonts w:cs="Times New Roman"/>
              </w:rPr>
            </w:pPr>
            <w:r>
              <w:rPr>
                <w:rFonts w:cs="Times New Roman"/>
              </w:rPr>
              <w:t xml:space="preserve">Animal Science </w:t>
            </w:r>
          </w:p>
        </w:tc>
        <w:tc>
          <w:tcPr>
            <w:tcW w:w="2914" w:type="dxa"/>
          </w:tcPr>
          <w:p w14:paraId="6C36513E">
            <w:pPr>
              <w:tabs>
                <w:tab w:val="left" w:pos="220"/>
              </w:tabs>
              <w:rPr>
                <w:rFonts w:cs="Times New Roman"/>
              </w:rPr>
            </w:pPr>
            <w:r>
              <w:rPr>
                <w:rFonts w:cs="Times New Roman"/>
              </w:rPr>
              <w:t>Nutritionist View of Wastes to Wealth and the Endless Search Animal Fed Raw Materials</w:t>
            </w:r>
          </w:p>
        </w:tc>
        <w:tc>
          <w:tcPr>
            <w:tcW w:w="1226" w:type="dxa"/>
          </w:tcPr>
          <w:p w14:paraId="7AD79974">
            <w:pPr>
              <w:tabs>
                <w:tab w:val="left" w:pos="220"/>
              </w:tabs>
              <w:rPr>
                <w:rFonts w:cs="Times New Roman"/>
              </w:rPr>
            </w:pPr>
            <w:r>
              <w:rPr>
                <w:rFonts w:cs="Times New Roman"/>
              </w:rPr>
              <w:t>25</w:t>
            </w:r>
            <w:r>
              <w:rPr>
                <w:rFonts w:cs="Times New Roman"/>
                <w:vertAlign w:val="superscript"/>
              </w:rPr>
              <w:t>th</w:t>
            </w:r>
            <w:r>
              <w:rPr>
                <w:rFonts w:cs="Times New Roman"/>
              </w:rPr>
              <w:t xml:space="preserve"> Aug., 2016</w:t>
            </w:r>
          </w:p>
        </w:tc>
      </w:tr>
      <w:tr w14:paraId="7512C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25" w:type="dxa"/>
          </w:tcPr>
          <w:p w14:paraId="3A81E408">
            <w:pPr>
              <w:tabs>
                <w:tab w:val="left" w:pos="220"/>
              </w:tabs>
              <w:rPr>
                <w:rFonts w:cs="Times New Roman"/>
              </w:rPr>
            </w:pPr>
            <w:r>
              <w:rPr>
                <w:rFonts w:cs="Times New Roman"/>
              </w:rPr>
              <w:t>55</w:t>
            </w:r>
          </w:p>
        </w:tc>
        <w:tc>
          <w:tcPr>
            <w:tcW w:w="3131" w:type="dxa"/>
          </w:tcPr>
          <w:p w14:paraId="2415DA14">
            <w:pPr>
              <w:tabs>
                <w:tab w:val="left" w:pos="220"/>
              </w:tabs>
              <w:rPr>
                <w:rFonts w:cs="Times New Roman"/>
              </w:rPr>
            </w:pPr>
            <w:r>
              <w:rPr>
                <w:rFonts w:cs="Times New Roman"/>
              </w:rPr>
              <w:t xml:space="preserve">Rev. Fr. Prof. John. A. Onimawo; B.D., Dip. M.A. PhD </w:t>
            </w:r>
          </w:p>
        </w:tc>
        <w:tc>
          <w:tcPr>
            <w:tcW w:w="1549" w:type="dxa"/>
          </w:tcPr>
          <w:p w14:paraId="755BFC91">
            <w:pPr>
              <w:tabs>
                <w:tab w:val="left" w:pos="220"/>
              </w:tabs>
              <w:rPr>
                <w:rFonts w:cs="Times New Roman"/>
              </w:rPr>
            </w:pPr>
            <w:r>
              <w:rPr>
                <w:rFonts w:cs="Times New Roman"/>
              </w:rPr>
              <w:t>Religion</w:t>
            </w:r>
          </w:p>
        </w:tc>
        <w:tc>
          <w:tcPr>
            <w:tcW w:w="2914" w:type="dxa"/>
          </w:tcPr>
          <w:p w14:paraId="64F53591">
            <w:pPr>
              <w:tabs>
                <w:tab w:val="left" w:pos="220"/>
              </w:tabs>
              <w:rPr>
                <w:rFonts w:cs="Times New Roman"/>
              </w:rPr>
            </w:pPr>
            <w:r>
              <w:rPr>
                <w:rFonts w:cs="Times New Roman"/>
              </w:rPr>
              <w:t>The Nature May Take Its Cause</w:t>
            </w:r>
          </w:p>
        </w:tc>
        <w:tc>
          <w:tcPr>
            <w:tcW w:w="1226" w:type="dxa"/>
          </w:tcPr>
          <w:p w14:paraId="2E14F549">
            <w:pPr>
              <w:tabs>
                <w:tab w:val="left" w:pos="220"/>
              </w:tabs>
              <w:rPr>
                <w:rFonts w:cs="Times New Roman"/>
              </w:rPr>
            </w:pPr>
            <w:r>
              <w:rPr>
                <w:rFonts w:cs="Times New Roman"/>
              </w:rPr>
              <w:t>6</w:t>
            </w:r>
            <w:r>
              <w:rPr>
                <w:rFonts w:cs="Times New Roman"/>
                <w:vertAlign w:val="superscript"/>
              </w:rPr>
              <w:t>th</w:t>
            </w:r>
            <w:r>
              <w:rPr>
                <w:rFonts w:cs="Times New Roman"/>
              </w:rPr>
              <w:t xml:space="preserve"> Oct., 2016</w:t>
            </w:r>
          </w:p>
        </w:tc>
      </w:tr>
      <w:tr w14:paraId="516CF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BEE0727">
            <w:pPr>
              <w:tabs>
                <w:tab w:val="left" w:pos="220"/>
              </w:tabs>
              <w:rPr>
                <w:rFonts w:cs="Times New Roman"/>
              </w:rPr>
            </w:pPr>
            <w:r>
              <w:rPr>
                <w:rFonts w:cs="Times New Roman"/>
              </w:rPr>
              <w:t>56</w:t>
            </w:r>
          </w:p>
        </w:tc>
        <w:tc>
          <w:tcPr>
            <w:tcW w:w="3131" w:type="dxa"/>
          </w:tcPr>
          <w:p w14:paraId="25955D3A">
            <w:pPr>
              <w:tabs>
                <w:tab w:val="left" w:pos="220"/>
              </w:tabs>
              <w:rPr>
                <w:rFonts w:cs="Times New Roman"/>
              </w:rPr>
            </w:pPr>
            <w:r>
              <w:rPr>
                <w:rFonts w:cs="Times New Roman"/>
              </w:rPr>
              <w:t>Prof. Samson Imasogie Omonfumwa; B.Sc. (Hons) (Ife); PGDE; M.Sc., PhD. (Benin)</w:t>
            </w:r>
          </w:p>
        </w:tc>
        <w:tc>
          <w:tcPr>
            <w:tcW w:w="1549" w:type="dxa"/>
          </w:tcPr>
          <w:p w14:paraId="6E264FDC">
            <w:pPr>
              <w:tabs>
                <w:tab w:val="left" w:pos="220"/>
              </w:tabs>
              <w:rPr>
                <w:rFonts w:cs="Times New Roman"/>
              </w:rPr>
            </w:pPr>
            <w:r>
              <w:rPr>
                <w:rFonts w:cs="Times New Roman"/>
              </w:rPr>
              <w:t>Geography</w:t>
            </w:r>
          </w:p>
        </w:tc>
        <w:tc>
          <w:tcPr>
            <w:tcW w:w="2914" w:type="dxa"/>
          </w:tcPr>
          <w:p w14:paraId="4ED2AA4D">
            <w:pPr>
              <w:tabs>
                <w:tab w:val="left" w:pos="220"/>
              </w:tabs>
              <w:rPr>
                <w:rFonts w:cs="Times New Roman"/>
              </w:rPr>
            </w:pPr>
            <w:r>
              <w:rPr>
                <w:rFonts w:cs="Times New Roman"/>
              </w:rPr>
              <w:t>Spatio Social Indicators Model: A Panacea for a Realistic Measurement of Socio-Economic Development (63pp)</w:t>
            </w:r>
          </w:p>
        </w:tc>
        <w:tc>
          <w:tcPr>
            <w:tcW w:w="1226" w:type="dxa"/>
          </w:tcPr>
          <w:p w14:paraId="02DC1DB9">
            <w:pPr>
              <w:tabs>
                <w:tab w:val="left" w:pos="220"/>
              </w:tabs>
              <w:rPr>
                <w:rFonts w:cs="Times New Roman"/>
              </w:rPr>
            </w:pPr>
            <w:r>
              <w:rPr>
                <w:rFonts w:cs="Times New Roman"/>
              </w:rPr>
              <w:t>27</w:t>
            </w:r>
            <w:r>
              <w:rPr>
                <w:rFonts w:cs="Times New Roman"/>
                <w:vertAlign w:val="superscript"/>
              </w:rPr>
              <w:t>th</w:t>
            </w:r>
            <w:r>
              <w:rPr>
                <w:rFonts w:cs="Times New Roman"/>
              </w:rPr>
              <w:t xml:space="preserve"> Oct., 2016</w:t>
            </w:r>
          </w:p>
        </w:tc>
      </w:tr>
      <w:tr w14:paraId="05EFC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5D1420FF">
            <w:pPr>
              <w:tabs>
                <w:tab w:val="left" w:pos="220"/>
              </w:tabs>
              <w:rPr>
                <w:rFonts w:cs="Times New Roman"/>
              </w:rPr>
            </w:pPr>
            <w:r>
              <w:rPr>
                <w:rFonts w:cs="Times New Roman"/>
              </w:rPr>
              <w:t>57</w:t>
            </w:r>
          </w:p>
        </w:tc>
        <w:tc>
          <w:tcPr>
            <w:tcW w:w="3131" w:type="dxa"/>
          </w:tcPr>
          <w:p w14:paraId="6842B9C4">
            <w:pPr>
              <w:tabs>
                <w:tab w:val="left" w:pos="220"/>
              </w:tabs>
              <w:rPr>
                <w:rFonts w:cs="Times New Roman"/>
              </w:rPr>
            </w:pPr>
            <w:r>
              <w:rPr>
                <w:rFonts w:cs="Times New Roman"/>
              </w:rPr>
              <w:t>Prof. Luckey A. Elakhame; PhD. FES. FILA. KSI</w:t>
            </w:r>
          </w:p>
        </w:tc>
        <w:tc>
          <w:tcPr>
            <w:tcW w:w="1549" w:type="dxa"/>
          </w:tcPr>
          <w:p w14:paraId="62DD79F4">
            <w:pPr>
              <w:tabs>
                <w:tab w:val="left" w:pos="220"/>
              </w:tabs>
              <w:rPr>
                <w:rFonts w:cs="Times New Roman"/>
              </w:rPr>
            </w:pPr>
            <w:r>
              <w:rPr>
                <w:rFonts w:cs="Times New Roman"/>
              </w:rPr>
              <w:t>Zoology</w:t>
            </w:r>
          </w:p>
        </w:tc>
        <w:tc>
          <w:tcPr>
            <w:tcW w:w="2914" w:type="dxa"/>
          </w:tcPr>
          <w:p w14:paraId="659C791A">
            <w:pPr>
              <w:tabs>
                <w:tab w:val="left" w:pos="220"/>
              </w:tabs>
              <w:rPr>
                <w:rFonts w:cs="Times New Roman"/>
              </w:rPr>
            </w:pPr>
            <w:r>
              <w:rPr>
                <w:rFonts w:cs="Times New Roman"/>
              </w:rPr>
              <w:t>Unravelling the Hidden Treasure of Water (88pp)</w:t>
            </w:r>
          </w:p>
        </w:tc>
        <w:tc>
          <w:tcPr>
            <w:tcW w:w="1226" w:type="dxa"/>
          </w:tcPr>
          <w:p w14:paraId="3EDED720">
            <w:pPr>
              <w:tabs>
                <w:tab w:val="left" w:pos="220"/>
              </w:tabs>
              <w:rPr>
                <w:rFonts w:cs="Times New Roman"/>
              </w:rPr>
            </w:pPr>
            <w:r>
              <w:rPr>
                <w:rFonts w:cs="Times New Roman"/>
              </w:rPr>
              <w:t>24</w:t>
            </w:r>
            <w:r>
              <w:rPr>
                <w:rFonts w:cs="Times New Roman"/>
                <w:vertAlign w:val="superscript"/>
              </w:rPr>
              <w:t>th</w:t>
            </w:r>
            <w:r>
              <w:rPr>
                <w:rFonts w:cs="Times New Roman"/>
              </w:rPr>
              <w:t xml:space="preserve"> Nov., 2016</w:t>
            </w:r>
          </w:p>
        </w:tc>
      </w:tr>
      <w:tr w14:paraId="68D09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5B275659">
            <w:pPr>
              <w:tabs>
                <w:tab w:val="left" w:pos="220"/>
              </w:tabs>
              <w:rPr>
                <w:rFonts w:cs="Times New Roman"/>
              </w:rPr>
            </w:pPr>
            <w:r>
              <w:rPr>
                <w:rFonts w:cs="Times New Roman"/>
              </w:rPr>
              <w:t>58</w:t>
            </w:r>
          </w:p>
        </w:tc>
        <w:tc>
          <w:tcPr>
            <w:tcW w:w="3131" w:type="dxa"/>
          </w:tcPr>
          <w:p w14:paraId="0F287751">
            <w:pPr>
              <w:tabs>
                <w:tab w:val="left" w:pos="220"/>
              </w:tabs>
              <w:rPr>
                <w:rFonts w:cs="Times New Roman"/>
              </w:rPr>
            </w:pPr>
            <w:r>
              <w:rPr>
                <w:rFonts w:cs="Times New Roman"/>
              </w:rPr>
              <w:t>Prof. (Mrs). A.N.T. Eguavoen; B.Sc. M.Sc. PhD. (Ibadan)</w:t>
            </w:r>
          </w:p>
        </w:tc>
        <w:tc>
          <w:tcPr>
            <w:tcW w:w="1549" w:type="dxa"/>
          </w:tcPr>
          <w:p w14:paraId="1E760FE1">
            <w:pPr>
              <w:tabs>
                <w:tab w:val="left" w:pos="220"/>
              </w:tabs>
              <w:rPr>
                <w:rFonts w:cs="Times New Roman"/>
              </w:rPr>
            </w:pPr>
            <w:r>
              <w:rPr>
                <w:rFonts w:cs="Times New Roman"/>
              </w:rPr>
              <w:t>Sociology</w:t>
            </w:r>
          </w:p>
        </w:tc>
        <w:tc>
          <w:tcPr>
            <w:tcW w:w="2914" w:type="dxa"/>
          </w:tcPr>
          <w:p w14:paraId="324C0015">
            <w:pPr>
              <w:tabs>
                <w:tab w:val="left" w:pos="220"/>
              </w:tabs>
              <w:rPr>
                <w:rFonts w:cs="Times New Roman"/>
              </w:rPr>
            </w:pPr>
            <w:r>
              <w:rPr>
                <w:rFonts w:cs="Times New Roman"/>
              </w:rPr>
              <w:t>Tensions and Contentions in Gender Debate: Natured or Nurtured (110pp)</w:t>
            </w:r>
          </w:p>
        </w:tc>
        <w:tc>
          <w:tcPr>
            <w:tcW w:w="1226" w:type="dxa"/>
          </w:tcPr>
          <w:p w14:paraId="28ABFB33">
            <w:pPr>
              <w:tabs>
                <w:tab w:val="left" w:pos="220"/>
              </w:tabs>
              <w:rPr>
                <w:rFonts w:cs="Times New Roman"/>
              </w:rPr>
            </w:pPr>
            <w:r>
              <w:rPr>
                <w:rFonts w:cs="Times New Roman"/>
              </w:rPr>
              <w:t>26</w:t>
            </w:r>
            <w:r>
              <w:rPr>
                <w:rFonts w:cs="Times New Roman"/>
                <w:vertAlign w:val="superscript"/>
              </w:rPr>
              <w:t>th</w:t>
            </w:r>
            <w:r>
              <w:rPr>
                <w:rFonts w:cs="Times New Roman"/>
              </w:rPr>
              <w:t xml:space="preserve"> Jan., 2017</w:t>
            </w:r>
          </w:p>
        </w:tc>
      </w:tr>
      <w:tr w14:paraId="5DF45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25562654">
            <w:pPr>
              <w:tabs>
                <w:tab w:val="left" w:pos="220"/>
              </w:tabs>
              <w:rPr>
                <w:rFonts w:cs="Times New Roman"/>
              </w:rPr>
            </w:pPr>
            <w:r>
              <w:rPr>
                <w:rFonts w:cs="Times New Roman"/>
              </w:rPr>
              <w:t>59</w:t>
            </w:r>
          </w:p>
        </w:tc>
        <w:tc>
          <w:tcPr>
            <w:tcW w:w="3131" w:type="dxa"/>
          </w:tcPr>
          <w:p w14:paraId="75091D62">
            <w:pPr>
              <w:tabs>
                <w:tab w:val="left" w:pos="220"/>
              </w:tabs>
              <w:rPr>
                <w:rFonts w:cs="Times New Roman"/>
              </w:rPr>
            </w:pPr>
            <w:r>
              <w:rPr>
                <w:rFonts w:cs="Times New Roman"/>
              </w:rPr>
              <w:t>Prof. Oyaziwo Aluede; B.Ed., M.Ed. PhD. (Benin)</w:t>
            </w:r>
          </w:p>
        </w:tc>
        <w:tc>
          <w:tcPr>
            <w:tcW w:w="1549" w:type="dxa"/>
          </w:tcPr>
          <w:p w14:paraId="79B933A1">
            <w:pPr>
              <w:tabs>
                <w:tab w:val="left" w:pos="220"/>
              </w:tabs>
              <w:rPr>
                <w:rFonts w:cs="Times New Roman"/>
              </w:rPr>
            </w:pPr>
            <w:r>
              <w:rPr>
                <w:rFonts w:cs="Times New Roman"/>
              </w:rPr>
              <w:t>Guidance and Counselling</w:t>
            </w:r>
          </w:p>
        </w:tc>
        <w:tc>
          <w:tcPr>
            <w:tcW w:w="2914" w:type="dxa"/>
          </w:tcPr>
          <w:p w14:paraId="50FEB195">
            <w:pPr>
              <w:tabs>
                <w:tab w:val="left" w:pos="220"/>
              </w:tabs>
              <w:rPr>
                <w:rFonts w:cs="Times New Roman"/>
              </w:rPr>
            </w:pPr>
            <w:r>
              <w:rPr>
                <w:rFonts w:cs="Times New Roman"/>
              </w:rPr>
              <w:t>The Quest for Safer School in Nigeria: My Epistle</w:t>
            </w:r>
          </w:p>
        </w:tc>
        <w:tc>
          <w:tcPr>
            <w:tcW w:w="1226" w:type="dxa"/>
          </w:tcPr>
          <w:p w14:paraId="55EF71FA">
            <w:pPr>
              <w:tabs>
                <w:tab w:val="left" w:pos="220"/>
              </w:tabs>
              <w:rPr>
                <w:rFonts w:cs="Times New Roman"/>
              </w:rPr>
            </w:pPr>
            <w:r>
              <w:rPr>
                <w:rFonts w:cs="Times New Roman"/>
              </w:rPr>
              <w:t>23</w:t>
            </w:r>
            <w:r>
              <w:rPr>
                <w:rFonts w:cs="Times New Roman"/>
                <w:vertAlign w:val="superscript"/>
              </w:rPr>
              <w:t>rd</w:t>
            </w:r>
            <w:r>
              <w:rPr>
                <w:rFonts w:cs="Times New Roman"/>
              </w:rPr>
              <w:t xml:space="preserve"> Feb., 2017</w:t>
            </w:r>
          </w:p>
        </w:tc>
      </w:tr>
      <w:tr w14:paraId="02D74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02AB8EB8">
            <w:pPr>
              <w:tabs>
                <w:tab w:val="left" w:pos="220"/>
              </w:tabs>
              <w:rPr>
                <w:rFonts w:cs="Times New Roman"/>
              </w:rPr>
            </w:pPr>
            <w:r>
              <w:rPr>
                <w:rFonts w:cs="Times New Roman"/>
              </w:rPr>
              <w:t>60</w:t>
            </w:r>
          </w:p>
        </w:tc>
        <w:tc>
          <w:tcPr>
            <w:tcW w:w="3131" w:type="dxa"/>
          </w:tcPr>
          <w:p w14:paraId="0A8ECA1E">
            <w:pPr>
              <w:tabs>
                <w:tab w:val="left" w:pos="220"/>
              </w:tabs>
              <w:rPr>
                <w:rFonts w:cs="Times New Roman"/>
              </w:rPr>
            </w:pPr>
            <w:r>
              <w:rPr>
                <w:rFonts w:cs="Times New Roman"/>
              </w:rPr>
              <w:t>Prof. Fredrick Ikechukwu Esumeh</w:t>
            </w:r>
          </w:p>
        </w:tc>
        <w:tc>
          <w:tcPr>
            <w:tcW w:w="1549" w:type="dxa"/>
          </w:tcPr>
          <w:p w14:paraId="22EC86E4">
            <w:pPr>
              <w:tabs>
                <w:tab w:val="left" w:pos="220"/>
              </w:tabs>
              <w:rPr>
                <w:rFonts w:cs="Times New Roman"/>
              </w:rPr>
            </w:pPr>
            <w:r>
              <w:rPr>
                <w:rFonts w:cs="Times New Roman"/>
              </w:rPr>
              <w:t>Microbiology</w:t>
            </w:r>
          </w:p>
        </w:tc>
        <w:tc>
          <w:tcPr>
            <w:tcW w:w="2914" w:type="dxa"/>
          </w:tcPr>
          <w:p w14:paraId="66FFA6D1">
            <w:pPr>
              <w:tabs>
                <w:tab w:val="left" w:pos="220"/>
              </w:tabs>
              <w:rPr>
                <w:rFonts w:cs="Times New Roman"/>
              </w:rPr>
            </w:pPr>
            <w:r>
              <w:rPr>
                <w:rFonts w:cs="Times New Roman"/>
              </w:rPr>
              <w:t xml:space="preserve">Man-Microbe Interaction: An Intense Struggle </w:t>
            </w:r>
            <w:r>
              <w:rPr>
                <w:rFonts w:cs="Times New Roman"/>
                <w:i/>
                <w:iCs/>
              </w:rPr>
              <w:t xml:space="preserve">Sensustricto </w:t>
            </w:r>
            <w:r>
              <w:rPr>
                <w:rFonts w:cs="Times New Roman"/>
              </w:rPr>
              <w:t>(81pp)</w:t>
            </w:r>
          </w:p>
        </w:tc>
        <w:tc>
          <w:tcPr>
            <w:tcW w:w="1226" w:type="dxa"/>
          </w:tcPr>
          <w:p w14:paraId="78AF9440">
            <w:pPr>
              <w:tabs>
                <w:tab w:val="left" w:pos="220"/>
              </w:tabs>
              <w:rPr>
                <w:rFonts w:cs="Times New Roman"/>
              </w:rPr>
            </w:pPr>
            <w:r>
              <w:rPr>
                <w:rFonts w:cs="Times New Roman"/>
              </w:rPr>
              <w:t>30</w:t>
            </w:r>
            <w:r>
              <w:rPr>
                <w:rFonts w:cs="Times New Roman"/>
                <w:vertAlign w:val="superscript"/>
              </w:rPr>
              <w:t>th</w:t>
            </w:r>
            <w:r>
              <w:rPr>
                <w:rFonts w:cs="Times New Roman"/>
              </w:rPr>
              <w:t xml:space="preserve"> Mar., 2017</w:t>
            </w:r>
          </w:p>
        </w:tc>
      </w:tr>
      <w:tr w14:paraId="55E90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17F98434">
            <w:pPr>
              <w:tabs>
                <w:tab w:val="left" w:pos="220"/>
              </w:tabs>
              <w:rPr>
                <w:rFonts w:cs="Times New Roman"/>
              </w:rPr>
            </w:pPr>
            <w:r>
              <w:rPr>
                <w:rFonts w:cs="Times New Roman"/>
              </w:rPr>
              <w:t>61</w:t>
            </w:r>
          </w:p>
        </w:tc>
        <w:tc>
          <w:tcPr>
            <w:tcW w:w="3131" w:type="dxa"/>
          </w:tcPr>
          <w:p w14:paraId="5A5170CB">
            <w:pPr>
              <w:tabs>
                <w:tab w:val="left" w:pos="220"/>
              </w:tabs>
              <w:rPr>
                <w:rFonts w:cs="Times New Roman"/>
              </w:rPr>
            </w:pPr>
            <w:r>
              <w:rPr>
                <w:rFonts w:cs="Times New Roman"/>
              </w:rPr>
              <w:t xml:space="preserve">Prof. (Mrs). Helen Ojomon Efoghe; NCE (Ibadan); B.A. Ed (Benin); PhD (Abraka) </w:t>
            </w:r>
          </w:p>
        </w:tc>
        <w:tc>
          <w:tcPr>
            <w:tcW w:w="1549" w:type="dxa"/>
          </w:tcPr>
          <w:p w14:paraId="01610B8B">
            <w:pPr>
              <w:tabs>
                <w:tab w:val="left" w:pos="220"/>
              </w:tabs>
              <w:rPr>
                <w:rFonts w:cs="Times New Roman"/>
              </w:rPr>
            </w:pPr>
            <w:r>
              <w:rPr>
                <w:rFonts w:cs="Times New Roman"/>
              </w:rPr>
              <w:t>Educational Management</w:t>
            </w:r>
          </w:p>
        </w:tc>
        <w:tc>
          <w:tcPr>
            <w:tcW w:w="2914" w:type="dxa"/>
          </w:tcPr>
          <w:p w14:paraId="03048747">
            <w:pPr>
              <w:tabs>
                <w:tab w:val="left" w:pos="220"/>
              </w:tabs>
              <w:rPr>
                <w:rFonts w:cs="Times New Roman"/>
              </w:rPr>
            </w:pPr>
            <w:r>
              <w:rPr>
                <w:rFonts w:cs="Times New Roman"/>
              </w:rPr>
              <w:t>Human Factors in Educational Management: Thorns or Roses (63pp)</w:t>
            </w:r>
          </w:p>
        </w:tc>
        <w:tc>
          <w:tcPr>
            <w:tcW w:w="1226" w:type="dxa"/>
          </w:tcPr>
          <w:p w14:paraId="5FC64F9C">
            <w:pPr>
              <w:tabs>
                <w:tab w:val="left" w:pos="220"/>
              </w:tabs>
              <w:rPr>
                <w:rFonts w:cs="Times New Roman"/>
              </w:rPr>
            </w:pPr>
            <w:r>
              <w:rPr>
                <w:rFonts w:cs="Times New Roman"/>
              </w:rPr>
              <w:t>27</w:t>
            </w:r>
            <w:r>
              <w:rPr>
                <w:rFonts w:cs="Times New Roman"/>
                <w:vertAlign w:val="superscript"/>
              </w:rPr>
              <w:t>th</w:t>
            </w:r>
            <w:r>
              <w:rPr>
                <w:rFonts w:cs="Times New Roman"/>
              </w:rPr>
              <w:t xml:space="preserve"> Apri., 2017</w:t>
            </w:r>
          </w:p>
        </w:tc>
      </w:tr>
      <w:tr w14:paraId="394C7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625" w:type="dxa"/>
          </w:tcPr>
          <w:p w14:paraId="68DBCC75">
            <w:pPr>
              <w:tabs>
                <w:tab w:val="left" w:pos="220"/>
              </w:tabs>
              <w:rPr>
                <w:rFonts w:cs="Times New Roman"/>
              </w:rPr>
            </w:pPr>
            <w:r>
              <w:rPr>
                <w:rFonts w:cs="Times New Roman"/>
              </w:rPr>
              <w:t>62</w:t>
            </w:r>
          </w:p>
        </w:tc>
        <w:tc>
          <w:tcPr>
            <w:tcW w:w="3131" w:type="dxa"/>
          </w:tcPr>
          <w:p w14:paraId="533F8250">
            <w:pPr>
              <w:tabs>
                <w:tab w:val="left" w:pos="220"/>
              </w:tabs>
              <w:rPr>
                <w:rFonts w:cs="Times New Roman"/>
              </w:rPr>
            </w:pPr>
            <w:r>
              <w:rPr>
                <w:rFonts w:cs="Times New Roman"/>
              </w:rPr>
              <w:t>Prof. Ven. Prof. Benjamin Nkoyen Egede; B.A. Hons (Lagos); M.A. PhD. (Ibadan); MNAL; FLSM; FCAL</w:t>
            </w:r>
          </w:p>
        </w:tc>
        <w:tc>
          <w:tcPr>
            <w:tcW w:w="1549" w:type="dxa"/>
          </w:tcPr>
          <w:p w14:paraId="467720C9">
            <w:pPr>
              <w:tabs>
                <w:tab w:val="left" w:pos="220"/>
              </w:tabs>
              <w:rPr>
                <w:rFonts w:cs="Times New Roman"/>
              </w:rPr>
            </w:pPr>
            <w:r>
              <w:rPr>
                <w:rFonts w:cs="Times New Roman"/>
              </w:rPr>
              <w:t>English</w:t>
            </w:r>
          </w:p>
        </w:tc>
        <w:tc>
          <w:tcPr>
            <w:tcW w:w="2914" w:type="dxa"/>
          </w:tcPr>
          <w:p w14:paraId="6331A42C">
            <w:pPr>
              <w:tabs>
                <w:tab w:val="left" w:pos="220"/>
              </w:tabs>
              <w:rPr>
                <w:rFonts w:cs="Times New Roman"/>
              </w:rPr>
            </w:pPr>
            <w:r>
              <w:rPr>
                <w:rFonts w:cs="Times New Roman"/>
              </w:rPr>
              <w:t>Modern Africa Poetry: Between the Creative Imagination and the Critical Impulse (93pp)</w:t>
            </w:r>
          </w:p>
        </w:tc>
        <w:tc>
          <w:tcPr>
            <w:tcW w:w="1226" w:type="dxa"/>
          </w:tcPr>
          <w:p w14:paraId="02740E12">
            <w:pPr>
              <w:tabs>
                <w:tab w:val="left" w:pos="220"/>
              </w:tabs>
              <w:rPr>
                <w:rFonts w:cs="Times New Roman"/>
              </w:rPr>
            </w:pPr>
            <w:r>
              <w:rPr>
                <w:rFonts w:cs="Times New Roman"/>
              </w:rPr>
              <w:t>25</w:t>
            </w:r>
            <w:r>
              <w:rPr>
                <w:rFonts w:cs="Times New Roman"/>
                <w:vertAlign w:val="superscript"/>
              </w:rPr>
              <w:t>th</w:t>
            </w:r>
            <w:r>
              <w:rPr>
                <w:rFonts w:cs="Times New Roman"/>
              </w:rPr>
              <w:t xml:space="preserve"> May, 2017</w:t>
            </w:r>
          </w:p>
        </w:tc>
      </w:tr>
      <w:tr w14:paraId="435F5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5" w:type="dxa"/>
          </w:tcPr>
          <w:p w14:paraId="44E86684">
            <w:pPr>
              <w:tabs>
                <w:tab w:val="left" w:pos="220"/>
              </w:tabs>
              <w:rPr>
                <w:rFonts w:cs="Times New Roman"/>
              </w:rPr>
            </w:pPr>
            <w:r>
              <w:rPr>
                <w:rFonts w:cs="Times New Roman"/>
              </w:rPr>
              <w:t>63</w:t>
            </w:r>
          </w:p>
        </w:tc>
        <w:tc>
          <w:tcPr>
            <w:tcW w:w="3131" w:type="dxa"/>
          </w:tcPr>
          <w:p w14:paraId="22B1BE08">
            <w:pPr>
              <w:tabs>
                <w:tab w:val="left" w:pos="220"/>
              </w:tabs>
              <w:rPr>
                <w:rFonts w:cs="Times New Roman"/>
              </w:rPr>
            </w:pPr>
            <w:r>
              <w:rPr>
                <w:rFonts w:cs="Times New Roman"/>
              </w:rPr>
              <w:t>Prof. A. S. Adagbonyi; B.A. (Hons); M.A. (UNN); PhD (Benin)</w:t>
            </w:r>
          </w:p>
        </w:tc>
        <w:tc>
          <w:tcPr>
            <w:tcW w:w="1549" w:type="dxa"/>
          </w:tcPr>
          <w:p w14:paraId="17D3F7D9">
            <w:pPr>
              <w:tabs>
                <w:tab w:val="left" w:pos="220"/>
              </w:tabs>
              <w:rPr>
                <w:rFonts w:cs="Times New Roman"/>
              </w:rPr>
            </w:pPr>
            <w:r>
              <w:rPr>
                <w:rFonts w:cs="Times New Roman"/>
              </w:rPr>
              <w:t>English</w:t>
            </w:r>
          </w:p>
        </w:tc>
        <w:tc>
          <w:tcPr>
            <w:tcW w:w="2914" w:type="dxa"/>
          </w:tcPr>
          <w:p w14:paraId="39D8097D">
            <w:pPr>
              <w:tabs>
                <w:tab w:val="left" w:pos="220"/>
              </w:tabs>
              <w:rPr>
                <w:rFonts w:cs="Times New Roman"/>
              </w:rPr>
            </w:pPr>
            <w:r>
              <w:rPr>
                <w:rFonts w:cs="Times New Roman"/>
              </w:rPr>
              <w:t>Linguistic Form and Literary Function: A Journey Through Sylistic Bride (68pp)</w:t>
            </w:r>
          </w:p>
        </w:tc>
        <w:tc>
          <w:tcPr>
            <w:tcW w:w="1226" w:type="dxa"/>
          </w:tcPr>
          <w:p w14:paraId="2FF0C918">
            <w:pPr>
              <w:tabs>
                <w:tab w:val="left" w:pos="220"/>
              </w:tabs>
              <w:rPr>
                <w:rFonts w:cs="Times New Roman"/>
              </w:rPr>
            </w:pPr>
            <w:r>
              <w:rPr>
                <w:rFonts w:cs="Times New Roman"/>
              </w:rPr>
              <w:t>29</w:t>
            </w:r>
            <w:r>
              <w:rPr>
                <w:rFonts w:cs="Times New Roman"/>
                <w:vertAlign w:val="superscript"/>
              </w:rPr>
              <w:t>th</w:t>
            </w:r>
            <w:r>
              <w:rPr>
                <w:rFonts w:cs="Times New Roman"/>
              </w:rPr>
              <w:t xml:space="preserve"> Jun., 2017</w:t>
            </w:r>
          </w:p>
        </w:tc>
      </w:tr>
      <w:tr w14:paraId="57062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625" w:type="dxa"/>
          </w:tcPr>
          <w:p w14:paraId="3BD4702A">
            <w:pPr>
              <w:tabs>
                <w:tab w:val="left" w:pos="220"/>
              </w:tabs>
              <w:rPr>
                <w:rFonts w:cs="Times New Roman"/>
              </w:rPr>
            </w:pPr>
            <w:r>
              <w:rPr>
                <w:rFonts w:cs="Times New Roman"/>
              </w:rPr>
              <w:t>64</w:t>
            </w:r>
          </w:p>
        </w:tc>
        <w:tc>
          <w:tcPr>
            <w:tcW w:w="3131" w:type="dxa"/>
          </w:tcPr>
          <w:p w14:paraId="5FDFC06A">
            <w:pPr>
              <w:tabs>
                <w:tab w:val="left" w:pos="220"/>
              </w:tabs>
              <w:rPr>
                <w:rFonts w:cs="Times New Roman"/>
              </w:rPr>
            </w:pPr>
            <w:r>
              <w:rPr>
                <w:rFonts w:cs="Times New Roman"/>
              </w:rPr>
              <w:t>Prof. U.S.U. Aashikpolokhai; B.Sc Hons (Ibadan); M.Sc. (loughborough); PhD. (Benin)</w:t>
            </w:r>
          </w:p>
        </w:tc>
        <w:tc>
          <w:tcPr>
            <w:tcW w:w="1549" w:type="dxa"/>
          </w:tcPr>
          <w:p w14:paraId="25E59573">
            <w:pPr>
              <w:tabs>
                <w:tab w:val="left" w:pos="220"/>
              </w:tabs>
              <w:rPr>
                <w:rFonts w:cs="Times New Roman"/>
              </w:rPr>
            </w:pPr>
            <w:r>
              <w:rPr>
                <w:rFonts w:cs="Times New Roman"/>
              </w:rPr>
              <w:t>Mathematics</w:t>
            </w:r>
          </w:p>
        </w:tc>
        <w:tc>
          <w:tcPr>
            <w:tcW w:w="2914" w:type="dxa"/>
          </w:tcPr>
          <w:p w14:paraId="73A328AD">
            <w:pPr>
              <w:tabs>
                <w:tab w:val="left" w:pos="220"/>
              </w:tabs>
              <w:rPr>
                <w:rFonts w:cs="Times New Roman"/>
              </w:rPr>
            </w:pPr>
            <w:r>
              <w:rPr>
                <w:rFonts w:cs="Times New Roman"/>
              </w:rPr>
              <w:t>The Quest for Accelerated Accurate Results for Applications (60pp)</w:t>
            </w:r>
          </w:p>
        </w:tc>
        <w:tc>
          <w:tcPr>
            <w:tcW w:w="1226" w:type="dxa"/>
          </w:tcPr>
          <w:p w14:paraId="555C7520">
            <w:pPr>
              <w:tabs>
                <w:tab w:val="left" w:pos="220"/>
              </w:tabs>
              <w:rPr>
                <w:rFonts w:cs="Times New Roman"/>
              </w:rPr>
            </w:pPr>
            <w:r>
              <w:rPr>
                <w:rFonts w:cs="Times New Roman"/>
              </w:rPr>
              <w:t>27</w:t>
            </w:r>
            <w:r>
              <w:rPr>
                <w:rFonts w:cs="Times New Roman"/>
                <w:vertAlign w:val="superscript"/>
              </w:rPr>
              <w:t>th</w:t>
            </w:r>
            <w:r>
              <w:rPr>
                <w:rFonts w:cs="Times New Roman"/>
              </w:rPr>
              <w:t xml:space="preserve"> Jul., 2017</w:t>
            </w:r>
          </w:p>
        </w:tc>
      </w:tr>
      <w:tr w14:paraId="4934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21D076F9">
            <w:pPr>
              <w:tabs>
                <w:tab w:val="left" w:pos="220"/>
              </w:tabs>
              <w:rPr>
                <w:rFonts w:cs="Times New Roman"/>
              </w:rPr>
            </w:pPr>
            <w:r>
              <w:rPr>
                <w:rFonts w:cs="Times New Roman"/>
              </w:rPr>
              <w:t>65</w:t>
            </w:r>
          </w:p>
        </w:tc>
        <w:tc>
          <w:tcPr>
            <w:tcW w:w="3131" w:type="dxa"/>
          </w:tcPr>
          <w:p w14:paraId="5570FD0E">
            <w:pPr>
              <w:tabs>
                <w:tab w:val="left" w:pos="220"/>
              </w:tabs>
              <w:rPr>
                <w:rFonts w:cs="Times New Roman"/>
              </w:rPr>
            </w:pPr>
            <w:r>
              <w:rPr>
                <w:rFonts w:cs="Times New Roman"/>
              </w:rPr>
              <w:t>Prof. S. E. Osezuwa; B.A. M.A. PhD</w:t>
            </w:r>
          </w:p>
        </w:tc>
        <w:tc>
          <w:tcPr>
            <w:tcW w:w="1549" w:type="dxa"/>
          </w:tcPr>
          <w:p w14:paraId="6AA8F0AE">
            <w:pPr>
              <w:tabs>
                <w:tab w:val="left" w:pos="220"/>
              </w:tabs>
              <w:rPr>
                <w:rFonts w:cs="Times New Roman"/>
              </w:rPr>
            </w:pPr>
            <w:r>
              <w:rPr>
                <w:rFonts w:cs="Times New Roman"/>
              </w:rPr>
              <w:t>French</w:t>
            </w:r>
          </w:p>
        </w:tc>
        <w:tc>
          <w:tcPr>
            <w:tcW w:w="2914" w:type="dxa"/>
          </w:tcPr>
          <w:p w14:paraId="6E2620F2">
            <w:pPr>
              <w:tabs>
                <w:tab w:val="left" w:pos="220"/>
              </w:tabs>
              <w:rPr>
                <w:rFonts w:cs="Times New Roman"/>
              </w:rPr>
            </w:pPr>
            <w:r>
              <w:rPr>
                <w:rFonts w:cs="Times New Roman"/>
              </w:rPr>
              <w:t>Conflict, History, Myth: The Foundations of Francophone Literature</w:t>
            </w:r>
          </w:p>
        </w:tc>
        <w:tc>
          <w:tcPr>
            <w:tcW w:w="1226" w:type="dxa"/>
          </w:tcPr>
          <w:p w14:paraId="47CAC6AB">
            <w:pPr>
              <w:tabs>
                <w:tab w:val="left" w:pos="220"/>
              </w:tabs>
              <w:rPr>
                <w:rFonts w:cs="Times New Roman"/>
              </w:rPr>
            </w:pPr>
            <w:r>
              <w:rPr>
                <w:rFonts w:cs="Times New Roman"/>
              </w:rPr>
              <w:t>5</w:t>
            </w:r>
            <w:r>
              <w:rPr>
                <w:rFonts w:cs="Times New Roman"/>
                <w:vertAlign w:val="superscript"/>
              </w:rPr>
              <w:t>th</w:t>
            </w:r>
            <w:r>
              <w:rPr>
                <w:rFonts w:cs="Times New Roman"/>
              </w:rPr>
              <w:t xml:space="preserve"> Oct., 2017</w:t>
            </w:r>
          </w:p>
        </w:tc>
      </w:tr>
      <w:tr w14:paraId="63A5E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CDAFF23">
            <w:pPr>
              <w:tabs>
                <w:tab w:val="left" w:pos="220"/>
              </w:tabs>
              <w:rPr>
                <w:rFonts w:cs="Times New Roman"/>
              </w:rPr>
            </w:pPr>
            <w:r>
              <w:rPr>
                <w:rFonts w:cs="Times New Roman"/>
              </w:rPr>
              <w:t>66</w:t>
            </w:r>
          </w:p>
        </w:tc>
        <w:tc>
          <w:tcPr>
            <w:tcW w:w="3131" w:type="dxa"/>
          </w:tcPr>
          <w:p w14:paraId="787AD447">
            <w:pPr>
              <w:tabs>
                <w:tab w:val="left" w:pos="220"/>
              </w:tabs>
              <w:rPr>
                <w:rFonts w:cs="Times New Roman"/>
              </w:rPr>
            </w:pPr>
            <w:r>
              <w:rPr>
                <w:rFonts w:cs="Times New Roman"/>
              </w:rPr>
              <w:t>Prof. Raymond Uwameiye; TCI; NCE Tech; B.Sc; M.Sc; PhD</w:t>
            </w:r>
          </w:p>
        </w:tc>
        <w:tc>
          <w:tcPr>
            <w:tcW w:w="1549" w:type="dxa"/>
          </w:tcPr>
          <w:p w14:paraId="1B2E9DA8">
            <w:pPr>
              <w:tabs>
                <w:tab w:val="left" w:pos="220"/>
              </w:tabs>
              <w:rPr>
                <w:rFonts w:cs="Times New Roman"/>
              </w:rPr>
            </w:pPr>
            <w:r>
              <w:rPr>
                <w:rFonts w:cs="Times New Roman"/>
              </w:rPr>
              <w:t>Technical Education</w:t>
            </w:r>
          </w:p>
        </w:tc>
        <w:tc>
          <w:tcPr>
            <w:tcW w:w="2914" w:type="dxa"/>
          </w:tcPr>
          <w:p w14:paraId="6663053A">
            <w:pPr>
              <w:tabs>
                <w:tab w:val="left" w:pos="220"/>
              </w:tabs>
              <w:rPr>
                <w:rFonts w:cs="Times New Roman"/>
              </w:rPr>
            </w:pPr>
            <w:r>
              <w:rPr>
                <w:rFonts w:cs="Times New Roman"/>
              </w:rPr>
              <w:t>Venturing into Technical. Vocational Education and Training in Nigeria: The Skill, the Killed or “Illed” Paradox</w:t>
            </w:r>
          </w:p>
        </w:tc>
        <w:tc>
          <w:tcPr>
            <w:tcW w:w="1226" w:type="dxa"/>
          </w:tcPr>
          <w:p w14:paraId="7FCC820B">
            <w:pPr>
              <w:tabs>
                <w:tab w:val="left" w:pos="220"/>
              </w:tabs>
              <w:rPr>
                <w:rFonts w:cs="Times New Roman"/>
              </w:rPr>
            </w:pPr>
            <w:r>
              <w:rPr>
                <w:rFonts w:cs="Times New Roman"/>
              </w:rPr>
              <w:t>26</w:t>
            </w:r>
            <w:r>
              <w:rPr>
                <w:rFonts w:cs="Times New Roman"/>
                <w:vertAlign w:val="superscript"/>
              </w:rPr>
              <w:t>th</w:t>
            </w:r>
            <w:r>
              <w:rPr>
                <w:rFonts w:cs="Times New Roman"/>
              </w:rPr>
              <w:t xml:space="preserve"> Oct., 2017</w:t>
            </w:r>
          </w:p>
        </w:tc>
      </w:tr>
      <w:tr w14:paraId="38BA5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EFB463C">
            <w:pPr>
              <w:tabs>
                <w:tab w:val="left" w:pos="220"/>
              </w:tabs>
              <w:rPr>
                <w:rFonts w:cs="Times New Roman"/>
              </w:rPr>
            </w:pPr>
            <w:r>
              <w:rPr>
                <w:rFonts w:cs="Times New Roman"/>
              </w:rPr>
              <w:t>67</w:t>
            </w:r>
          </w:p>
        </w:tc>
        <w:tc>
          <w:tcPr>
            <w:tcW w:w="3131" w:type="dxa"/>
          </w:tcPr>
          <w:p w14:paraId="38C2663B">
            <w:pPr>
              <w:tabs>
                <w:tab w:val="left" w:pos="220"/>
              </w:tabs>
              <w:rPr>
                <w:rFonts w:cs="Times New Roman"/>
              </w:rPr>
            </w:pPr>
            <w:r>
              <w:rPr>
                <w:rFonts w:cs="Times New Roman"/>
              </w:rPr>
              <w:t>Prof. Julius U. Azelama; B.Sc; M.Sc; PhD</w:t>
            </w:r>
          </w:p>
        </w:tc>
        <w:tc>
          <w:tcPr>
            <w:tcW w:w="1549" w:type="dxa"/>
          </w:tcPr>
          <w:p w14:paraId="14D8B7C8">
            <w:pPr>
              <w:tabs>
                <w:tab w:val="left" w:pos="220"/>
              </w:tabs>
              <w:rPr>
                <w:rFonts w:cs="Times New Roman"/>
              </w:rPr>
            </w:pPr>
            <w:r>
              <w:rPr>
                <w:rFonts w:cs="Times New Roman"/>
              </w:rPr>
              <w:t>Public Administration</w:t>
            </w:r>
          </w:p>
        </w:tc>
        <w:tc>
          <w:tcPr>
            <w:tcW w:w="2914" w:type="dxa"/>
          </w:tcPr>
          <w:p w14:paraId="590F3F08">
            <w:pPr>
              <w:tabs>
                <w:tab w:val="left" w:pos="220"/>
              </w:tabs>
              <w:rPr>
                <w:rFonts w:cs="Times New Roman"/>
              </w:rPr>
            </w:pPr>
            <w:r>
              <w:rPr>
                <w:rFonts w:cs="Times New Roman"/>
              </w:rPr>
              <w:t>Toward a Paradigm Shift in Anti-</w:t>
            </w:r>
          </w:p>
        </w:tc>
        <w:tc>
          <w:tcPr>
            <w:tcW w:w="1226" w:type="dxa"/>
          </w:tcPr>
          <w:p w14:paraId="38F20BC5">
            <w:pPr>
              <w:tabs>
                <w:tab w:val="left" w:pos="220"/>
              </w:tabs>
              <w:rPr>
                <w:rFonts w:cs="Times New Roman"/>
              </w:rPr>
            </w:pPr>
            <w:r>
              <w:rPr>
                <w:rFonts w:cs="Times New Roman"/>
              </w:rPr>
              <w:t>30</w:t>
            </w:r>
            <w:r>
              <w:rPr>
                <w:rFonts w:cs="Times New Roman"/>
                <w:vertAlign w:val="superscript"/>
              </w:rPr>
              <w:t>th</w:t>
            </w:r>
            <w:r>
              <w:rPr>
                <w:rFonts w:cs="Times New Roman"/>
              </w:rPr>
              <w:t xml:space="preserve"> Nov., 2017</w:t>
            </w:r>
          </w:p>
        </w:tc>
      </w:tr>
      <w:tr w14:paraId="4E2B6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5F297FF2">
            <w:pPr>
              <w:tabs>
                <w:tab w:val="left" w:pos="220"/>
              </w:tabs>
              <w:rPr>
                <w:rFonts w:cs="Times New Roman"/>
              </w:rPr>
            </w:pPr>
            <w:r>
              <w:rPr>
                <w:rFonts w:cs="Times New Roman"/>
              </w:rPr>
              <w:t>68</w:t>
            </w:r>
          </w:p>
        </w:tc>
        <w:tc>
          <w:tcPr>
            <w:tcW w:w="3131" w:type="dxa"/>
          </w:tcPr>
          <w:p w14:paraId="561E4E2A">
            <w:pPr>
              <w:tabs>
                <w:tab w:val="left" w:pos="220"/>
              </w:tabs>
              <w:rPr>
                <w:rFonts w:cs="Times New Roman"/>
              </w:rPr>
            </w:pPr>
            <w:r>
              <w:rPr>
                <w:rFonts w:cs="Times New Roman"/>
              </w:rPr>
              <w:t>Prof. S. E. Iyayi; B.Sc Hons (UNN); M.Ed. (Philadelphia); M.Sc; PhD (Ibadan)</w:t>
            </w:r>
          </w:p>
        </w:tc>
        <w:tc>
          <w:tcPr>
            <w:tcW w:w="1549" w:type="dxa"/>
          </w:tcPr>
          <w:p w14:paraId="63A986A2">
            <w:pPr>
              <w:tabs>
                <w:tab w:val="left" w:pos="220"/>
              </w:tabs>
              <w:rPr>
                <w:rFonts w:cs="Times New Roman"/>
              </w:rPr>
            </w:pPr>
            <w:r>
              <w:rPr>
                <w:rFonts w:cs="Times New Roman"/>
              </w:rPr>
              <w:t>Physics</w:t>
            </w:r>
          </w:p>
        </w:tc>
        <w:tc>
          <w:tcPr>
            <w:tcW w:w="2914" w:type="dxa"/>
          </w:tcPr>
          <w:p w14:paraId="799EEBD6">
            <w:pPr>
              <w:tabs>
                <w:tab w:val="left" w:pos="220"/>
              </w:tabs>
              <w:rPr>
                <w:rFonts w:cs="Times New Roman"/>
              </w:rPr>
            </w:pPr>
            <w:r>
              <w:rPr>
                <w:rFonts w:cs="Times New Roman"/>
              </w:rPr>
              <w:t>Physics in the Service of Man: Solid State Physics and Its Applications (111pp)</w:t>
            </w:r>
          </w:p>
        </w:tc>
        <w:tc>
          <w:tcPr>
            <w:tcW w:w="1226" w:type="dxa"/>
          </w:tcPr>
          <w:p w14:paraId="60CA5BAA">
            <w:pPr>
              <w:tabs>
                <w:tab w:val="left" w:pos="220"/>
              </w:tabs>
              <w:rPr>
                <w:rFonts w:cs="Times New Roman"/>
              </w:rPr>
            </w:pPr>
            <w:r>
              <w:rPr>
                <w:rFonts w:cs="Times New Roman"/>
              </w:rPr>
              <w:t>22</w:t>
            </w:r>
            <w:r>
              <w:rPr>
                <w:rFonts w:cs="Times New Roman"/>
                <w:vertAlign w:val="superscript"/>
              </w:rPr>
              <w:t>nd</w:t>
            </w:r>
            <w:r>
              <w:rPr>
                <w:rFonts w:cs="Times New Roman"/>
              </w:rPr>
              <w:t xml:space="preserve"> Feb., 2018</w:t>
            </w:r>
          </w:p>
        </w:tc>
      </w:tr>
      <w:tr w14:paraId="3763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29D4BCD">
            <w:pPr>
              <w:tabs>
                <w:tab w:val="left" w:pos="220"/>
              </w:tabs>
              <w:rPr>
                <w:rFonts w:cs="Times New Roman"/>
              </w:rPr>
            </w:pPr>
            <w:r>
              <w:rPr>
                <w:rFonts w:cs="Times New Roman"/>
              </w:rPr>
              <w:t>69</w:t>
            </w:r>
          </w:p>
        </w:tc>
        <w:tc>
          <w:tcPr>
            <w:tcW w:w="3131" w:type="dxa"/>
          </w:tcPr>
          <w:p w14:paraId="1771F0A2">
            <w:pPr>
              <w:tabs>
                <w:tab w:val="left" w:pos="220"/>
              </w:tabs>
              <w:rPr>
                <w:rFonts w:cs="Times New Roman"/>
              </w:rPr>
            </w:pPr>
            <w:r>
              <w:rPr>
                <w:rFonts w:cs="Times New Roman"/>
              </w:rPr>
              <w:t>Prof. F. O. Ikpotokin; B.Sc Hons (Bensu); M.Sc; PhD.  (Benin)</w:t>
            </w:r>
          </w:p>
        </w:tc>
        <w:tc>
          <w:tcPr>
            <w:tcW w:w="1549" w:type="dxa"/>
          </w:tcPr>
          <w:p w14:paraId="092945C1">
            <w:pPr>
              <w:tabs>
                <w:tab w:val="left" w:pos="220"/>
              </w:tabs>
              <w:rPr>
                <w:rFonts w:cs="Times New Roman"/>
              </w:rPr>
            </w:pPr>
            <w:r>
              <w:rPr>
                <w:rFonts w:cs="Times New Roman"/>
              </w:rPr>
              <w:t>Computer Science</w:t>
            </w:r>
          </w:p>
        </w:tc>
        <w:tc>
          <w:tcPr>
            <w:tcW w:w="2914" w:type="dxa"/>
          </w:tcPr>
          <w:p w14:paraId="0F65BADC">
            <w:pPr>
              <w:tabs>
                <w:tab w:val="left" w:pos="220"/>
              </w:tabs>
              <w:rPr>
                <w:rFonts w:cs="Times New Roman"/>
              </w:rPr>
            </w:pPr>
            <w:r>
              <w:rPr>
                <w:rFonts w:cs="Times New Roman"/>
              </w:rPr>
              <w:t>The Pathway to Computer Programming Efficiency for Optimal Utilization</w:t>
            </w:r>
          </w:p>
        </w:tc>
        <w:tc>
          <w:tcPr>
            <w:tcW w:w="1226" w:type="dxa"/>
          </w:tcPr>
          <w:p w14:paraId="4CBE30CF">
            <w:pPr>
              <w:tabs>
                <w:tab w:val="left" w:pos="220"/>
              </w:tabs>
              <w:rPr>
                <w:rFonts w:cs="Times New Roman"/>
              </w:rPr>
            </w:pPr>
            <w:r>
              <w:rPr>
                <w:rFonts w:cs="Times New Roman"/>
              </w:rPr>
              <w:t>29</w:t>
            </w:r>
            <w:r>
              <w:rPr>
                <w:rFonts w:cs="Times New Roman"/>
                <w:vertAlign w:val="superscript"/>
              </w:rPr>
              <w:t>th</w:t>
            </w:r>
            <w:r>
              <w:rPr>
                <w:rFonts w:cs="Times New Roman"/>
              </w:rPr>
              <w:t xml:space="preserve"> Mar., 2018</w:t>
            </w:r>
          </w:p>
        </w:tc>
      </w:tr>
      <w:tr w14:paraId="21343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96B9253">
            <w:pPr>
              <w:tabs>
                <w:tab w:val="left" w:pos="220"/>
              </w:tabs>
              <w:rPr>
                <w:rFonts w:cs="Times New Roman"/>
              </w:rPr>
            </w:pPr>
            <w:r>
              <w:rPr>
                <w:rFonts w:cs="Times New Roman"/>
              </w:rPr>
              <w:t>70</w:t>
            </w:r>
          </w:p>
        </w:tc>
        <w:tc>
          <w:tcPr>
            <w:tcW w:w="3131" w:type="dxa"/>
          </w:tcPr>
          <w:p w14:paraId="2ED97C87">
            <w:pPr>
              <w:tabs>
                <w:tab w:val="left" w:pos="220"/>
              </w:tabs>
              <w:rPr>
                <w:rFonts w:cs="Times New Roman"/>
              </w:rPr>
            </w:pPr>
            <w:r>
              <w:rPr>
                <w:rFonts w:cs="Times New Roman"/>
              </w:rPr>
              <w:t>Prof. Donatius O. Akhilomen; B.A (Hons); M.A.; LLB (Hons); PhD (Ekpoma); PGDE (Sokoto)</w:t>
            </w:r>
          </w:p>
        </w:tc>
        <w:tc>
          <w:tcPr>
            <w:tcW w:w="1549" w:type="dxa"/>
          </w:tcPr>
          <w:p w14:paraId="688B22FA">
            <w:pPr>
              <w:tabs>
                <w:tab w:val="left" w:pos="220"/>
              </w:tabs>
              <w:rPr>
                <w:rFonts w:cs="Times New Roman"/>
              </w:rPr>
            </w:pPr>
            <w:r>
              <w:rPr>
                <w:rFonts w:cs="Times New Roman"/>
              </w:rPr>
              <w:t>Religious Studies</w:t>
            </w:r>
          </w:p>
        </w:tc>
        <w:tc>
          <w:tcPr>
            <w:tcW w:w="2914" w:type="dxa"/>
          </w:tcPr>
          <w:p w14:paraId="3CC9CC27">
            <w:pPr>
              <w:tabs>
                <w:tab w:val="left" w:pos="220"/>
              </w:tabs>
              <w:rPr>
                <w:rFonts w:cs="Times New Roman"/>
              </w:rPr>
            </w:pPr>
            <w:r>
              <w:rPr>
                <w:rFonts w:cs="Times New Roman"/>
              </w:rPr>
              <w:t>The Church on Earth and the Quest for Heaven: Gleaning from Salient Church Historical Experiences (82pp)</w:t>
            </w:r>
          </w:p>
        </w:tc>
        <w:tc>
          <w:tcPr>
            <w:tcW w:w="1226" w:type="dxa"/>
          </w:tcPr>
          <w:p w14:paraId="24A9CD42">
            <w:pPr>
              <w:tabs>
                <w:tab w:val="left" w:pos="220"/>
              </w:tabs>
              <w:rPr>
                <w:rFonts w:cs="Times New Roman"/>
              </w:rPr>
            </w:pPr>
            <w:r>
              <w:rPr>
                <w:rFonts w:cs="Times New Roman"/>
              </w:rPr>
              <w:t>26</w:t>
            </w:r>
            <w:r>
              <w:rPr>
                <w:rFonts w:cs="Times New Roman"/>
                <w:vertAlign w:val="superscript"/>
              </w:rPr>
              <w:t>th</w:t>
            </w:r>
            <w:r>
              <w:rPr>
                <w:rFonts w:cs="Times New Roman"/>
              </w:rPr>
              <w:t xml:space="preserve"> Apr., 2018</w:t>
            </w:r>
          </w:p>
        </w:tc>
      </w:tr>
      <w:tr w14:paraId="1BB2F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trPr>
        <w:tc>
          <w:tcPr>
            <w:tcW w:w="625" w:type="dxa"/>
          </w:tcPr>
          <w:p w14:paraId="6AFCA389">
            <w:pPr>
              <w:tabs>
                <w:tab w:val="left" w:pos="220"/>
              </w:tabs>
              <w:rPr>
                <w:rFonts w:cs="Times New Roman"/>
              </w:rPr>
            </w:pPr>
            <w:r>
              <w:rPr>
                <w:rFonts w:cs="Times New Roman"/>
              </w:rPr>
              <w:t>71</w:t>
            </w:r>
          </w:p>
        </w:tc>
        <w:tc>
          <w:tcPr>
            <w:tcW w:w="3131" w:type="dxa"/>
          </w:tcPr>
          <w:p w14:paraId="791AAF9C">
            <w:pPr>
              <w:tabs>
                <w:tab w:val="left" w:pos="220"/>
              </w:tabs>
              <w:rPr>
                <w:rFonts w:cs="Times New Roman"/>
              </w:rPr>
            </w:pPr>
            <w:r>
              <w:rPr>
                <w:rFonts w:cs="Times New Roman"/>
              </w:rPr>
              <w:t>Prof. (Mrs). Eunice O. Omoregie; B.A. Ed (Hons) (Ibadan); M.Ed. (benin); PhD (Abraka)</w:t>
            </w:r>
          </w:p>
        </w:tc>
        <w:tc>
          <w:tcPr>
            <w:tcW w:w="1549" w:type="dxa"/>
          </w:tcPr>
          <w:p w14:paraId="0FCFE2CB">
            <w:pPr>
              <w:tabs>
                <w:tab w:val="left" w:pos="220"/>
              </w:tabs>
              <w:rPr>
                <w:rFonts w:cs="Times New Roman"/>
              </w:rPr>
            </w:pPr>
            <w:r>
              <w:rPr>
                <w:rFonts w:cs="Times New Roman"/>
              </w:rPr>
              <w:t>Educational Administration</w:t>
            </w:r>
          </w:p>
        </w:tc>
        <w:tc>
          <w:tcPr>
            <w:tcW w:w="2914" w:type="dxa"/>
          </w:tcPr>
          <w:p w14:paraId="353C479C">
            <w:pPr>
              <w:tabs>
                <w:tab w:val="left" w:pos="220"/>
              </w:tabs>
              <w:rPr>
                <w:rFonts w:cs="Times New Roman"/>
              </w:rPr>
            </w:pPr>
            <w:r>
              <w:rPr>
                <w:rFonts w:cs="Times New Roman"/>
              </w:rPr>
              <w:t>Organizational Behaviour in the Business of Education: The Seed and Sower, for Richer, for Poorer (64pp)</w:t>
            </w:r>
          </w:p>
        </w:tc>
        <w:tc>
          <w:tcPr>
            <w:tcW w:w="1226" w:type="dxa"/>
          </w:tcPr>
          <w:p w14:paraId="6493F88C">
            <w:pPr>
              <w:tabs>
                <w:tab w:val="left" w:pos="220"/>
              </w:tabs>
              <w:rPr>
                <w:rFonts w:cs="Times New Roman"/>
              </w:rPr>
            </w:pPr>
            <w:r>
              <w:rPr>
                <w:rFonts w:cs="Times New Roman"/>
              </w:rPr>
              <w:t>31</w:t>
            </w:r>
            <w:r>
              <w:rPr>
                <w:rFonts w:cs="Times New Roman"/>
                <w:vertAlign w:val="superscript"/>
              </w:rPr>
              <w:t>st</w:t>
            </w:r>
            <w:r>
              <w:rPr>
                <w:rFonts w:cs="Times New Roman"/>
              </w:rPr>
              <w:t xml:space="preserve"> May, 2018</w:t>
            </w:r>
          </w:p>
        </w:tc>
      </w:tr>
      <w:tr w14:paraId="4AB03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C4608A5">
            <w:pPr>
              <w:tabs>
                <w:tab w:val="left" w:pos="220"/>
              </w:tabs>
              <w:rPr>
                <w:rFonts w:cs="Times New Roman"/>
              </w:rPr>
            </w:pPr>
            <w:r>
              <w:rPr>
                <w:rFonts w:cs="Times New Roman"/>
              </w:rPr>
              <w:t>72</w:t>
            </w:r>
          </w:p>
        </w:tc>
        <w:tc>
          <w:tcPr>
            <w:tcW w:w="3131" w:type="dxa"/>
          </w:tcPr>
          <w:p w14:paraId="65C67C14">
            <w:pPr>
              <w:tabs>
                <w:tab w:val="left" w:pos="220"/>
              </w:tabs>
              <w:rPr>
                <w:rFonts w:cs="Times New Roman"/>
              </w:rPr>
            </w:pPr>
            <w:r>
              <w:rPr>
                <w:rFonts w:cs="Times New Roman"/>
              </w:rPr>
              <w:t>Prof. Anthony Okoduwa; B.A. Hons (Calabar); M.A. (Uniben); PhD. (AAUE)</w:t>
            </w:r>
          </w:p>
        </w:tc>
        <w:tc>
          <w:tcPr>
            <w:tcW w:w="1549" w:type="dxa"/>
          </w:tcPr>
          <w:p w14:paraId="0A92F8D0">
            <w:pPr>
              <w:tabs>
                <w:tab w:val="left" w:pos="220"/>
              </w:tabs>
              <w:rPr>
                <w:rFonts w:cs="Times New Roman"/>
              </w:rPr>
            </w:pPr>
            <w:r>
              <w:rPr>
                <w:rFonts w:cs="Times New Roman"/>
              </w:rPr>
              <w:t>History</w:t>
            </w:r>
          </w:p>
        </w:tc>
        <w:tc>
          <w:tcPr>
            <w:tcW w:w="2914" w:type="dxa"/>
          </w:tcPr>
          <w:p w14:paraId="43600C78">
            <w:pPr>
              <w:tabs>
                <w:tab w:val="left" w:pos="220"/>
              </w:tabs>
              <w:rPr>
                <w:rFonts w:cs="Times New Roman"/>
              </w:rPr>
            </w:pPr>
            <w:r>
              <w:rPr>
                <w:rFonts w:cs="Times New Roman"/>
              </w:rPr>
              <w:t>Harnessing the Origin and Economic History of Esan Land: A Dialysis of Autarky in Nigeria (79 pp)</w:t>
            </w:r>
          </w:p>
        </w:tc>
        <w:tc>
          <w:tcPr>
            <w:tcW w:w="1226" w:type="dxa"/>
          </w:tcPr>
          <w:p w14:paraId="56CB2751">
            <w:pPr>
              <w:tabs>
                <w:tab w:val="left" w:pos="220"/>
              </w:tabs>
              <w:rPr>
                <w:rFonts w:cs="Times New Roman"/>
              </w:rPr>
            </w:pPr>
            <w:r>
              <w:rPr>
                <w:rFonts w:cs="Times New Roman"/>
              </w:rPr>
              <w:t>28</w:t>
            </w:r>
            <w:r>
              <w:rPr>
                <w:rFonts w:cs="Times New Roman"/>
                <w:vertAlign w:val="superscript"/>
              </w:rPr>
              <w:t>th</w:t>
            </w:r>
            <w:r>
              <w:rPr>
                <w:rFonts w:cs="Times New Roman"/>
              </w:rPr>
              <w:t xml:space="preserve"> Jun., 2018</w:t>
            </w:r>
          </w:p>
        </w:tc>
      </w:tr>
      <w:tr w14:paraId="16184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625" w:type="dxa"/>
          </w:tcPr>
          <w:p w14:paraId="648C78C9">
            <w:pPr>
              <w:tabs>
                <w:tab w:val="left" w:pos="220"/>
              </w:tabs>
              <w:rPr>
                <w:rFonts w:cs="Times New Roman"/>
              </w:rPr>
            </w:pPr>
            <w:r>
              <w:rPr>
                <w:rFonts w:cs="Times New Roman"/>
              </w:rPr>
              <w:t>73</w:t>
            </w:r>
          </w:p>
        </w:tc>
        <w:tc>
          <w:tcPr>
            <w:tcW w:w="3131" w:type="dxa"/>
          </w:tcPr>
          <w:p w14:paraId="7C029F64">
            <w:pPr>
              <w:tabs>
                <w:tab w:val="left" w:pos="220"/>
              </w:tabs>
              <w:rPr>
                <w:rFonts w:cs="Times New Roman"/>
              </w:rPr>
            </w:pPr>
            <w:r>
              <w:rPr>
                <w:rFonts w:cs="Times New Roman"/>
              </w:rPr>
              <w:t>Prof. Imahe Osayomo John; B.Sc Ed (Ilorin); M.Sc (Lagos); PhD (Ekpoma)</w:t>
            </w:r>
          </w:p>
        </w:tc>
        <w:tc>
          <w:tcPr>
            <w:tcW w:w="1549" w:type="dxa"/>
          </w:tcPr>
          <w:p w14:paraId="0BA9C082">
            <w:pPr>
              <w:tabs>
                <w:tab w:val="left" w:pos="220"/>
              </w:tabs>
              <w:rPr>
                <w:rFonts w:cs="Times New Roman"/>
              </w:rPr>
            </w:pPr>
            <w:r>
              <w:rPr>
                <w:rFonts w:cs="Times New Roman"/>
              </w:rPr>
              <w:t>Economics</w:t>
            </w:r>
          </w:p>
        </w:tc>
        <w:tc>
          <w:tcPr>
            <w:tcW w:w="2914" w:type="dxa"/>
          </w:tcPr>
          <w:p w14:paraId="0A4AF467">
            <w:pPr>
              <w:tabs>
                <w:tab w:val="left" w:pos="220"/>
              </w:tabs>
              <w:rPr>
                <w:rFonts w:cs="Times New Roman"/>
              </w:rPr>
            </w:pPr>
            <w:r>
              <w:rPr>
                <w:rFonts w:cs="Times New Roman"/>
              </w:rPr>
              <w:t>Nigeria: Invest in Human Capital and Prosper (61pp)</w:t>
            </w:r>
          </w:p>
        </w:tc>
        <w:tc>
          <w:tcPr>
            <w:tcW w:w="1226" w:type="dxa"/>
          </w:tcPr>
          <w:p w14:paraId="788EB73B">
            <w:pPr>
              <w:tabs>
                <w:tab w:val="left" w:pos="220"/>
              </w:tabs>
              <w:rPr>
                <w:rFonts w:cs="Times New Roman"/>
              </w:rPr>
            </w:pPr>
            <w:r>
              <w:rPr>
                <w:rFonts w:cs="Times New Roman"/>
              </w:rPr>
              <w:t>25</w:t>
            </w:r>
            <w:r>
              <w:rPr>
                <w:rFonts w:cs="Times New Roman"/>
                <w:vertAlign w:val="superscript"/>
              </w:rPr>
              <w:t>th</w:t>
            </w:r>
            <w:r>
              <w:rPr>
                <w:rFonts w:cs="Times New Roman"/>
              </w:rPr>
              <w:t xml:space="preserve"> Jul., 2018</w:t>
            </w:r>
          </w:p>
        </w:tc>
      </w:tr>
      <w:tr w14:paraId="6D213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D24549A">
            <w:pPr>
              <w:tabs>
                <w:tab w:val="left" w:pos="220"/>
              </w:tabs>
              <w:rPr>
                <w:rFonts w:cs="Times New Roman"/>
              </w:rPr>
            </w:pPr>
            <w:r>
              <w:rPr>
                <w:rFonts w:cs="Times New Roman"/>
              </w:rPr>
              <w:t>74</w:t>
            </w:r>
          </w:p>
        </w:tc>
        <w:tc>
          <w:tcPr>
            <w:tcW w:w="3131" w:type="dxa"/>
          </w:tcPr>
          <w:p w14:paraId="35CE6B91">
            <w:pPr>
              <w:tabs>
                <w:tab w:val="left" w:pos="220"/>
              </w:tabs>
              <w:rPr>
                <w:rFonts w:cs="Times New Roman"/>
              </w:rPr>
            </w:pPr>
            <w:r>
              <w:rPr>
                <w:rFonts w:cs="Times New Roman"/>
              </w:rPr>
              <w:t>Prof. I. I. Elimimian; B.A. Hons (lagos); M.A. (TCU); PhD (Howard)</w:t>
            </w:r>
          </w:p>
        </w:tc>
        <w:tc>
          <w:tcPr>
            <w:tcW w:w="1549" w:type="dxa"/>
          </w:tcPr>
          <w:p w14:paraId="4B01686D">
            <w:pPr>
              <w:tabs>
                <w:tab w:val="left" w:pos="220"/>
              </w:tabs>
              <w:rPr>
                <w:rFonts w:cs="Times New Roman"/>
              </w:rPr>
            </w:pPr>
            <w:r>
              <w:rPr>
                <w:rFonts w:cs="Times New Roman"/>
              </w:rPr>
              <w:t>English</w:t>
            </w:r>
          </w:p>
        </w:tc>
        <w:tc>
          <w:tcPr>
            <w:tcW w:w="2914" w:type="dxa"/>
          </w:tcPr>
          <w:p w14:paraId="100FF3C5">
            <w:pPr>
              <w:tabs>
                <w:tab w:val="left" w:pos="220"/>
              </w:tabs>
              <w:rPr>
                <w:rFonts w:cs="Times New Roman"/>
              </w:rPr>
            </w:pPr>
            <w:r>
              <w:rPr>
                <w:rFonts w:cs="Times New Roman"/>
              </w:rPr>
              <w:t>The Rhetoric of Ethos: A Weapon Against Crime (45pp)</w:t>
            </w:r>
          </w:p>
        </w:tc>
        <w:tc>
          <w:tcPr>
            <w:tcW w:w="1226" w:type="dxa"/>
          </w:tcPr>
          <w:p w14:paraId="4F077BB2">
            <w:pPr>
              <w:tabs>
                <w:tab w:val="left" w:pos="220"/>
              </w:tabs>
              <w:rPr>
                <w:rFonts w:cs="Times New Roman"/>
              </w:rPr>
            </w:pPr>
            <w:r>
              <w:rPr>
                <w:rFonts w:cs="Times New Roman"/>
              </w:rPr>
              <w:t>27</w:t>
            </w:r>
            <w:r>
              <w:rPr>
                <w:rFonts w:cs="Times New Roman"/>
                <w:vertAlign w:val="superscript"/>
              </w:rPr>
              <w:t>th</w:t>
            </w:r>
            <w:r>
              <w:rPr>
                <w:rFonts w:cs="Times New Roman"/>
              </w:rPr>
              <w:t xml:space="preserve"> Sep., 2018</w:t>
            </w:r>
          </w:p>
        </w:tc>
      </w:tr>
      <w:tr w14:paraId="73A4B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2F8136DA">
            <w:pPr>
              <w:tabs>
                <w:tab w:val="left" w:pos="220"/>
              </w:tabs>
              <w:rPr>
                <w:rFonts w:cs="Times New Roman"/>
              </w:rPr>
            </w:pPr>
            <w:r>
              <w:rPr>
                <w:rFonts w:cs="Times New Roman"/>
              </w:rPr>
              <w:t>75</w:t>
            </w:r>
          </w:p>
        </w:tc>
        <w:tc>
          <w:tcPr>
            <w:tcW w:w="3131" w:type="dxa"/>
          </w:tcPr>
          <w:p w14:paraId="0B222822">
            <w:pPr>
              <w:tabs>
                <w:tab w:val="left" w:pos="220"/>
              </w:tabs>
              <w:rPr>
                <w:rFonts w:cs="Times New Roman"/>
              </w:rPr>
            </w:pPr>
            <w:r>
              <w:rPr>
                <w:rFonts w:cs="Times New Roman"/>
              </w:rPr>
              <w:t>Prof. ; B.Eng (Benin); M.Sc (Lagos); PhD (Ekpoma); MINSE; R.Engr. (COREN)</w:t>
            </w:r>
          </w:p>
        </w:tc>
        <w:tc>
          <w:tcPr>
            <w:tcW w:w="1549" w:type="dxa"/>
          </w:tcPr>
          <w:p w14:paraId="386A5926">
            <w:pPr>
              <w:tabs>
                <w:tab w:val="left" w:pos="220"/>
              </w:tabs>
              <w:rPr>
                <w:rFonts w:cs="Times New Roman"/>
              </w:rPr>
            </w:pPr>
            <w:r>
              <w:rPr>
                <w:rFonts w:cs="Times New Roman"/>
              </w:rPr>
              <w:t>Electrical and Electronic Engineering</w:t>
            </w:r>
          </w:p>
        </w:tc>
        <w:tc>
          <w:tcPr>
            <w:tcW w:w="2914" w:type="dxa"/>
          </w:tcPr>
          <w:p w14:paraId="62EAD481">
            <w:pPr>
              <w:tabs>
                <w:tab w:val="left" w:pos="220"/>
              </w:tabs>
              <w:rPr>
                <w:rFonts w:cs="Times New Roman"/>
              </w:rPr>
            </w:pPr>
            <w:r>
              <w:rPr>
                <w:rFonts w:cs="Times New Roman"/>
              </w:rPr>
              <w:t>The Primary of Sinusoid: My Sinusoidal Sojourn (65pp)</w:t>
            </w:r>
          </w:p>
        </w:tc>
        <w:tc>
          <w:tcPr>
            <w:tcW w:w="1226" w:type="dxa"/>
          </w:tcPr>
          <w:p w14:paraId="65E74090">
            <w:pPr>
              <w:tabs>
                <w:tab w:val="left" w:pos="220"/>
              </w:tabs>
              <w:rPr>
                <w:rFonts w:cs="Times New Roman"/>
              </w:rPr>
            </w:pPr>
            <w:r>
              <w:rPr>
                <w:rFonts w:cs="Times New Roman"/>
              </w:rPr>
              <w:t>25</w:t>
            </w:r>
            <w:r>
              <w:rPr>
                <w:rFonts w:cs="Times New Roman"/>
                <w:vertAlign w:val="superscript"/>
              </w:rPr>
              <w:t>th</w:t>
            </w:r>
            <w:r>
              <w:rPr>
                <w:rFonts w:cs="Times New Roman"/>
              </w:rPr>
              <w:t xml:space="preserve"> Oct., 2018</w:t>
            </w:r>
          </w:p>
        </w:tc>
      </w:tr>
      <w:tr w14:paraId="08228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11F8C5FA">
            <w:pPr>
              <w:tabs>
                <w:tab w:val="left" w:pos="220"/>
              </w:tabs>
              <w:rPr>
                <w:rFonts w:cs="Times New Roman"/>
              </w:rPr>
            </w:pPr>
            <w:r>
              <w:rPr>
                <w:rFonts w:cs="Times New Roman"/>
              </w:rPr>
              <w:t>76</w:t>
            </w:r>
          </w:p>
        </w:tc>
        <w:tc>
          <w:tcPr>
            <w:tcW w:w="3131" w:type="dxa"/>
          </w:tcPr>
          <w:p w14:paraId="0FCFCEC8">
            <w:pPr>
              <w:tabs>
                <w:tab w:val="left" w:pos="220"/>
              </w:tabs>
              <w:rPr>
                <w:rFonts w:cs="Times New Roman"/>
              </w:rPr>
            </w:pPr>
            <w:r>
              <w:rPr>
                <w:rFonts w:cs="Times New Roman"/>
              </w:rPr>
              <w:t>Prof. Felix Moibi Okoro; B.Sc; M.Sc (Western Oregon); M.Sc; PhD (Horin)</w:t>
            </w:r>
          </w:p>
        </w:tc>
        <w:tc>
          <w:tcPr>
            <w:tcW w:w="1549" w:type="dxa"/>
          </w:tcPr>
          <w:p w14:paraId="323C82A8">
            <w:pPr>
              <w:tabs>
                <w:tab w:val="left" w:pos="220"/>
              </w:tabs>
              <w:rPr>
                <w:rFonts w:cs="Times New Roman"/>
              </w:rPr>
            </w:pPr>
            <w:r>
              <w:rPr>
                <w:rFonts w:cs="Times New Roman"/>
              </w:rPr>
              <w:t>Mathematics</w:t>
            </w:r>
          </w:p>
        </w:tc>
        <w:tc>
          <w:tcPr>
            <w:tcW w:w="2914" w:type="dxa"/>
          </w:tcPr>
          <w:p w14:paraId="566D431E">
            <w:pPr>
              <w:tabs>
                <w:tab w:val="left" w:pos="220"/>
              </w:tabs>
              <w:rPr>
                <w:rFonts w:cs="Times New Roman"/>
              </w:rPr>
            </w:pPr>
            <w:r>
              <w:rPr>
                <w:rFonts w:cs="Times New Roman"/>
              </w:rPr>
              <w:t>Networking and Optimization Theory: Applicable Mathematics for Everyday Life (50pp)</w:t>
            </w:r>
          </w:p>
        </w:tc>
        <w:tc>
          <w:tcPr>
            <w:tcW w:w="1226" w:type="dxa"/>
          </w:tcPr>
          <w:p w14:paraId="38B4B8CE">
            <w:pPr>
              <w:tabs>
                <w:tab w:val="left" w:pos="220"/>
              </w:tabs>
              <w:rPr>
                <w:rFonts w:cs="Times New Roman"/>
              </w:rPr>
            </w:pPr>
            <w:r>
              <w:rPr>
                <w:rFonts w:cs="Times New Roman"/>
              </w:rPr>
              <w:t>28</w:t>
            </w:r>
            <w:r>
              <w:rPr>
                <w:rFonts w:cs="Times New Roman"/>
                <w:vertAlign w:val="superscript"/>
              </w:rPr>
              <w:t>th</w:t>
            </w:r>
            <w:r>
              <w:rPr>
                <w:rFonts w:cs="Times New Roman"/>
              </w:rPr>
              <w:t xml:space="preserve"> Feb., 2019</w:t>
            </w:r>
          </w:p>
        </w:tc>
      </w:tr>
      <w:tr w14:paraId="60E6A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2FBC1E0A">
            <w:pPr>
              <w:tabs>
                <w:tab w:val="left" w:pos="220"/>
              </w:tabs>
              <w:rPr>
                <w:rFonts w:cs="Times New Roman"/>
              </w:rPr>
            </w:pPr>
            <w:r>
              <w:rPr>
                <w:rFonts w:cs="Times New Roman"/>
              </w:rPr>
              <w:t>77</w:t>
            </w:r>
          </w:p>
        </w:tc>
        <w:tc>
          <w:tcPr>
            <w:tcW w:w="3131" w:type="dxa"/>
          </w:tcPr>
          <w:p w14:paraId="5ED93AD3">
            <w:pPr>
              <w:tabs>
                <w:tab w:val="left" w:pos="220"/>
              </w:tabs>
              <w:rPr>
                <w:rFonts w:cs="Times New Roman"/>
              </w:rPr>
            </w:pPr>
            <w:r>
              <w:rPr>
                <w:rFonts w:cs="Times New Roman"/>
              </w:rPr>
              <w:t>Prof. Emorc Cyril Emordi; B.A.; M.A.; PhD</w:t>
            </w:r>
          </w:p>
        </w:tc>
        <w:tc>
          <w:tcPr>
            <w:tcW w:w="1549" w:type="dxa"/>
          </w:tcPr>
          <w:p w14:paraId="4EB29EA6">
            <w:pPr>
              <w:tabs>
                <w:tab w:val="left" w:pos="220"/>
              </w:tabs>
              <w:rPr>
                <w:rFonts w:cs="Times New Roman"/>
              </w:rPr>
            </w:pPr>
            <w:r>
              <w:rPr>
                <w:rFonts w:cs="Times New Roman"/>
              </w:rPr>
              <w:t>History</w:t>
            </w:r>
          </w:p>
        </w:tc>
        <w:tc>
          <w:tcPr>
            <w:tcW w:w="2914" w:type="dxa"/>
          </w:tcPr>
          <w:p w14:paraId="357D12A8">
            <w:pPr>
              <w:tabs>
                <w:tab w:val="left" w:pos="220"/>
              </w:tabs>
              <w:rPr>
                <w:rFonts w:cs="Times New Roman"/>
              </w:rPr>
            </w:pPr>
            <w:r>
              <w:rPr>
                <w:rFonts w:cs="Times New Roman"/>
              </w:rPr>
              <w:t>The Maiguard and Nigeria’s Political March to Biafra (46pp)</w:t>
            </w:r>
          </w:p>
        </w:tc>
        <w:tc>
          <w:tcPr>
            <w:tcW w:w="1226" w:type="dxa"/>
          </w:tcPr>
          <w:p w14:paraId="1A419465">
            <w:pPr>
              <w:tabs>
                <w:tab w:val="left" w:pos="220"/>
              </w:tabs>
              <w:rPr>
                <w:rFonts w:cs="Times New Roman"/>
              </w:rPr>
            </w:pPr>
            <w:r>
              <w:rPr>
                <w:rFonts w:cs="Times New Roman"/>
              </w:rPr>
              <w:t>28</w:t>
            </w:r>
            <w:r>
              <w:rPr>
                <w:rFonts w:cs="Times New Roman"/>
                <w:vertAlign w:val="superscript"/>
              </w:rPr>
              <w:t>th</w:t>
            </w:r>
            <w:r>
              <w:rPr>
                <w:rFonts w:cs="Times New Roman"/>
              </w:rPr>
              <w:t xml:space="preserve"> Mar., 2019</w:t>
            </w:r>
          </w:p>
        </w:tc>
      </w:tr>
      <w:tr w14:paraId="2B66A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0B925FD4">
            <w:pPr>
              <w:tabs>
                <w:tab w:val="left" w:pos="220"/>
              </w:tabs>
              <w:rPr>
                <w:rFonts w:cs="Times New Roman"/>
              </w:rPr>
            </w:pPr>
            <w:r>
              <w:rPr>
                <w:rFonts w:cs="Times New Roman"/>
              </w:rPr>
              <w:t>78</w:t>
            </w:r>
          </w:p>
        </w:tc>
        <w:tc>
          <w:tcPr>
            <w:tcW w:w="3131" w:type="dxa"/>
          </w:tcPr>
          <w:p w14:paraId="0973017D">
            <w:pPr>
              <w:tabs>
                <w:tab w:val="left" w:pos="220"/>
              </w:tabs>
              <w:rPr>
                <w:rFonts w:cs="Times New Roman"/>
              </w:rPr>
            </w:pPr>
            <w:r>
              <w:rPr>
                <w:rFonts w:cs="Times New Roman"/>
              </w:rPr>
              <w:t>Prof. E. O. Imhanlahimi; B.Sc (Hons); PGDE; M.ED; PhD</w:t>
            </w:r>
          </w:p>
        </w:tc>
        <w:tc>
          <w:tcPr>
            <w:tcW w:w="1549" w:type="dxa"/>
          </w:tcPr>
          <w:p w14:paraId="1C0CD81A">
            <w:pPr>
              <w:tabs>
                <w:tab w:val="left" w:pos="220"/>
              </w:tabs>
              <w:rPr>
                <w:rFonts w:cs="Times New Roman"/>
              </w:rPr>
            </w:pPr>
            <w:r>
              <w:rPr>
                <w:rFonts w:cs="Times New Roman"/>
              </w:rPr>
              <w:t>Science Education</w:t>
            </w:r>
          </w:p>
        </w:tc>
        <w:tc>
          <w:tcPr>
            <w:tcW w:w="2914" w:type="dxa"/>
          </w:tcPr>
          <w:p w14:paraId="33CB200F">
            <w:pPr>
              <w:tabs>
                <w:tab w:val="left" w:pos="220"/>
              </w:tabs>
              <w:rPr>
                <w:rFonts w:cs="Times New Roman"/>
              </w:rPr>
            </w:pPr>
            <w:r>
              <w:rPr>
                <w:rFonts w:cs="Times New Roman"/>
              </w:rPr>
              <w:t>Science and Technology Education and National Development: Implication for Science Instruction in Nigeria in the 21</w:t>
            </w:r>
            <w:r>
              <w:rPr>
                <w:rFonts w:cs="Times New Roman"/>
                <w:vertAlign w:val="superscript"/>
              </w:rPr>
              <w:t>st</w:t>
            </w:r>
            <w:r>
              <w:rPr>
                <w:rFonts w:cs="Times New Roman"/>
              </w:rPr>
              <w:t xml:space="preserve"> Century (46pp)</w:t>
            </w:r>
          </w:p>
        </w:tc>
        <w:tc>
          <w:tcPr>
            <w:tcW w:w="1226" w:type="dxa"/>
          </w:tcPr>
          <w:p w14:paraId="1299A549">
            <w:pPr>
              <w:tabs>
                <w:tab w:val="left" w:pos="220"/>
              </w:tabs>
              <w:rPr>
                <w:rFonts w:cs="Times New Roman"/>
              </w:rPr>
            </w:pPr>
            <w:r>
              <w:rPr>
                <w:rFonts w:cs="Times New Roman"/>
              </w:rPr>
              <w:t>25</w:t>
            </w:r>
            <w:r>
              <w:rPr>
                <w:rFonts w:cs="Times New Roman"/>
                <w:vertAlign w:val="superscript"/>
              </w:rPr>
              <w:t>th</w:t>
            </w:r>
            <w:r>
              <w:rPr>
                <w:rFonts w:cs="Times New Roman"/>
              </w:rPr>
              <w:t xml:space="preserve"> Apr., 2019</w:t>
            </w:r>
          </w:p>
        </w:tc>
      </w:tr>
      <w:tr w14:paraId="0663B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1B18392C">
            <w:pPr>
              <w:tabs>
                <w:tab w:val="left" w:pos="220"/>
              </w:tabs>
              <w:rPr>
                <w:rFonts w:cs="Times New Roman"/>
              </w:rPr>
            </w:pPr>
            <w:r>
              <w:rPr>
                <w:rFonts w:cs="Times New Roman"/>
              </w:rPr>
              <w:t>79</w:t>
            </w:r>
          </w:p>
        </w:tc>
        <w:tc>
          <w:tcPr>
            <w:tcW w:w="3131" w:type="dxa"/>
          </w:tcPr>
          <w:p w14:paraId="0B5603E9">
            <w:pPr>
              <w:tabs>
                <w:tab w:val="left" w:pos="220"/>
              </w:tabs>
              <w:rPr>
                <w:rFonts w:cs="Times New Roman"/>
              </w:rPr>
            </w:pPr>
            <w:r>
              <w:rPr>
                <w:rFonts w:cs="Times New Roman"/>
              </w:rPr>
              <w:t>Prof. Osemwota Ikpotoki Osedebamwen; B.Sc (Maiduguri); M.Sc (Ibadan); PhD (Ekpoma)</w:t>
            </w:r>
          </w:p>
        </w:tc>
        <w:tc>
          <w:tcPr>
            <w:tcW w:w="1549" w:type="dxa"/>
          </w:tcPr>
          <w:p w14:paraId="7DE0BA96">
            <w:pPr>
              <w:tabs>
                <w:tab w:val="left" w:pos="220"/>
              </w:tabs>
              <w:rPr>
                <w:rFonts w:cs="Times New Roman"/>
              </w:rPr>
            </w:pPr>
            <w:r>
              <w:rPr>
                <w:rFonts w:cs="Times New Roman"/>
              </w:rPr>
              <w:t>Soil Science</w:t>
            </w:r>
          </w:p>
        </w:tc>
        <w:tc>
          <w:tcPr>
            <w:tcW w:w="2914" w:type="dxa"/>
          </w:tcPr>
          <w:p w14:paraId="31630E7E">
            <w:pPr>
              <w:tabs>
                <w:tab w:val="left" w:pos="220"/>
              </w:tabs>
              <w:rPr>
                <w:rFonts w:cs="Times New Roman"/>
              </w:rPr>
            </w:pPr>
            <w:r>
              <w:rPr>
                <w:rFonts w:cs="Times New Roman"/>
              </w:rPr>
              <w:t>Maintaining Soil Fertility for Sustainable Crop Production in Nigeria: The Soil and Crop in Partnership</w:t>
            </w:r>
          </w:p>
        </w:tc>
        <w:tc>
          <w:tcPr>
            <w:tcW w:w="1226" w:type="dxa"/>
          </w:tcPr>
          <w:p w14:paraId="402FD74F">
            <w:pPr>
              <w:tabs>
                <w:tab w:val="left" w:pos="220"/>
              </w:tabs>
              <w:rPr>
                <w:rFonts w:cs="Times New Roman"/>
              </w:rPr>
            </w:pPr>
            <w:r>
              <w:rPr>
                <w:rFonts w:cs="Times New Roman"/>
              </w:rPr>
              <w:t>30</w:t>
            </w:r>
            <w:r>
              <w:rPr>
                <w:rFonts w:cs="Times New Roman"/>
                <w:vertAlign w:val="superscript"/>
              </w:rPr>
              <w:t>th</w:t>
            </w:r>
            <w:r>
              <w:rPr>
                <w:rFonts w:cs="Times New Roman"/>
              </w:rPr>
              <w:t xml:space="preserve"> May, 2019</w:t>
            </w:r>
          </w:p>
        </w:tc>
      </w:tr>
      <w:tr w14:paraId="1BB8E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625" w:type="dxa"/>
          </w:tcPr>
          <w:p w14:paraId="3B2B79D6">
            <w:pPr>
              <w:tabs>
                <w:tab w:val="left" w:pos="220"/>
              </w:tabs>
              <w:rPr>
                <w:rFonts w:cs="Times New Roman"/>
              </w:rPr>
            </w:pPr>
            <w:r>
              <w:rPr>
                <w:rFonts w:cs="Times New Roman"/>
              </w:rPr>
              <w:t>80</w:t>
            </w:r>
          </w:p>
        </w:tc>
        <w:tc>
          <w:tcPr>
            <w:tcW w:w="3131" w:type="dxa"/>
          </w:tcPr>
          <w:p w14:paraId="0DEDCB15">
            <w:pPr>
              <w:tabs>
                <w:tab w:val="left" w:pos="220"/>
              </w:tabs>
              <w:rPr>
                <w:rFonts w:cs="Times New Roman"/>
              </w:rPr>
            </w:pPr>
            <w:r>
              <w:rPr>
                <w:rFonts w:cs="Times New Roman"/>
              </w:rPr>
              <w:t>Prof. Omeimen Ujuabi; B.Sc; M.Sc; PhD (Ekpoma)</w:t>
            </w:r>
          </w:p>
        </w:tc>
        <w:tc>
          <w:tcPr>
            <w:tcW w:w="1549" w:type="dxa"/>
          </w:tcPr>
          <w:p w14:paraId="76948AEA">
            <w:pPr>
              <w:tabs>
                <w:tab w:val="left" w:pos="220"/>
              </w:tabs>
              <w:rPr>
                <w:rFonts w:cs="Times New Roman"/>
              </w:rPr>
            </w:pPr>
            <w:r>
              <w:rPr>
                <w:rFonts w:cs="Times New Roman"/>
              </w:rPr>
              <w:t>Geophysics</w:t>
            </w:r>
          </w:p>
        </w:tc>
        <w:tc>
          <w:tcPr>
            <w:tcW w:w="2914" w:type="dxa"/>
          </w:tcPr>
          <w:p w14:paraId="3BA22C3E">
            <w:pPr>
              <w:tabs>
                <w:tab w:val="left" w:pos="220"/>
              </w:tabs>
              <w:rPr>
                <w:rFonts w:cs="Times New Roman"/>
              </w:rPr>
            </w:pPr>
            <w:r>
              <w:rPr>
                <w:rFonts w:cs="Times New Roman"/>
              </w:rPr>
              <w:t>Geophysics: Discovery God’s Hidden Treasures for Prosperity</w:t>
            </w:r>
          </w:p>
        </w:tc>
        <w:tc>
          <w:tcPr>
            <w:tcW w:w="1226" w:type="dxa"/>
          </w:tcPr>
          <w:p w14:paraId="57881C77">
            <w:pPr>
              <w:tabs>
                <w:tab w:val="left" w:pos="220"/>
              </w:tabs>
              <w:rPr>
                <w:rFonts w:cs="Times New Roman"/>
              </w:rPr>
            </w:pPr>
            <w:r>
              <w:rPr>
                <w:rFonts w:cs="Times New Roman"/>
              </w:rPr>
              <w:t>27</w:t>
            </w:r>
            <w:r>
              <w:rPr>
                <w:rFonts w:cs="Times New Roman"/>
                <w:vertAlign w:val="superscript"/>
              </w:rPr>
              <w:t>th</w:t>
            </w:r>
            <w:r>
              <w:rPr>
                <w:rFonts w:cs="Times New Roman"/>
              </w:rPr>
              <w:t xml:space="preserve"> Jun., 2019</w:t>
            </w:r>
          </w:p>
        </w:tc>
      </w:tr>
      <w:tr w14:paraId="5E6E2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1FB01C95">
            <w:pPr>
              <w:tabs>
                <w:tab w:val="left" w:pos="220"/>
              </w:tabs>
              <w:rPr>
                <w:rFonts w:cs="Times New Roman"/>
              </w:rPr>
            </w:pPr>
            <w:r>
              <w:rPr>
                <w:rFonts w:cs="Times New Roman"/>
              </w:rPr>
              <w:t>81</w:t>
            </w:r>
          </w:p>
        </w:tc>
        <w:tc>
          <w:tcPr>
            <w:tcW w:w="3131" w:type="dxa"/>
          </w:tcPr>
          <w:p w14:paraId="42453ADF">
            <w:pPr>
              <w:tabs>
                <w:tab w:val="left" w:pos="220"/>
              </w:tabs>
              <w:rPr>
                <w:rFonts w:cs="Times New Roman"/>
              </w:rPr>
            </w:pPr>
            <w:r>
              <w:rPr>
                <w:rFonts w:cs="Times New Roman"/>
              </w:rPr>
              <w:t>Prof. Efosa Benedict Osegbale; B.A; M.A. (Ibadan); PhD</w:t>
            </w:r>
          </w:p>
        </w:tc>
        <w:tc>
          <w:tcPr>
            <w:tcW w:w="1549" w:type="dxa"/>
          </w:tcPr>
          <w:p w14:paraId="74F0666F">
            <w:pPr>
              <w:tabs>
                <w:tab w:val="left" w:pos="220"/>
              </w:tabs>
              <w:rPr>
                <w:rFonts w:cs="Times New Roman"/>
              </w:rPr>
            </w:pPr>
            <w:r>
              <w:rPr>
                <w:rFonts w:cs="Times New Roman"/>
              </w:rPr>
              <w:t>History</w:t>
            </w:r>
          </w:p>
        </w:tc>
        <w:tc>
          <w:tcPr>
            <w:tcW w:w="2914" w:type="dxa"/>
          </w:tcPr>
          <w:p w14:paraId="45969FF8">
            <w:pPr>
              <w:tabs>
                <w:tab w:val="left" w:pos="220"/>
              </w:tabs>
              <w:rPr>
                <w:rFonts w:cs="Times New Roman"/>
              </w:rPr>
            </w:pPr>
            <w:r>
              <w:rPr>
                <w:rFonts w:cs="Times New Roman"/>
              </w:rPr>
              <w:t>Stereotypes in History (52pp)</w:t>
            </w:r>
          </w:p>
        </w:tc>
        <w:tc>
          <w:tcPr>
            <w:tcW w:w="1226" w:type="dxa"/>
          </w:tcPr>
          <w:p w14:paraId="3E83B972">
            <w:pPr>
              <w:tabs>
                <w:tab w:val="left" w:pos="220"/>
              </w:tabs>
              <w:rPr>
                <w:rFonts w:cs="Times New Roman"/>
              </w:rPr>
            </w:pPr>
            <w:r>
              <w:rPr>
                <w:rFonts w:cs="Times New Roman"/>
              </w:rPr>
              <w:t>25</w:t>
            </w:r>
            <w:r>
              <w:rPr>
                <w:rFonts w:cs="Times New Roman"/>
                <w:vertAlign w:val="superscript"/>
              </w:rPr>
              <w:t>th</w:t>
            </w:r>
            <w:r>
              <w:rPr>
                <w:rFonts w:cs="Times New Roman"/>
              </w:rPr>
              <w:t xml:space="preserve"> Jul., 2019</w:t>
            </w:r>
          </w:p>
        </w:tc>
      </w:tr>
      <w:tr w14:paraId="1C9DA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2F8BD35">
            <w:pPr>
              <w:tabs>
                <w:tab w:val="left" w:pos="220"/>
              </w:tabs>
              <w:rPr>
                <w:rFonts w:cs="Times New Roman"/>
              </w:rPr>
            </w:pPr>
            <w:r>
              <w:rPr>
                <w:rFonts w:cs="Times New Roman"/>
              </w:rPr>
              <w:t>82</w:t>
            </w:r>
          </w:p>
        </w:tc>
        <w:tc>
          <w:tcPr>
            <w:tcW w:w="3131" w:type="dxa"/>
          </w:tcPr>
          <w:p w14:paraId="5B7F71C5">
            <w:pPr>
              <w:tabs>
                <w:tab w:val="left" w:pos="220"/>
              </w:tabs>
              <w:rPr>
                <w:rFonts w:cs="Times New Roman"/>
              </w:rPr>
            </w:pPr>
            <w:r>
              <w:rPr>
                <w:rFonts w:cs="Times New Roman"/>
              </w:rPr>
              <w:t>Prof. Asia Imohimi Ohiomo; B.Sc.; MBA (Ekpoma); PGDE; M.Sc; PhD (Benin)</w:t>
            </w:r>
          </w:p>
        </w:tc>
        <w:tc>
          <w:tcPr>
            <w:tcW w:w="1549" w:type="dxa"/>
          </w:tcPr>
          <w:p w14:paraId="433C7266">
            <w:pPr>
              <w:tabs>
                <w:tab w:val="left" w:pos="220"/>
              </w:tabs>
              <w:rPr>
                <w:rFonts w:cs="Times New Roman"/>
              </w:rPr>
            </w:pPr>
            <w:r>
              <w:rPr>
                <w:rFonts w:cs="Times New Roman"/>
              </w:rPr>
              <w:t>Chemistry</w:t>
            </w:r>
          </w:p>
        </w:tc>
        <w:tc>
          <w:tcPr>
            <w:tcW w:w="2914" w:type="dxa"/>
          </w:tcPr>
          <w:p w14:paraId="00FD991C">
            <w:pPr>
              <w:tabs>
                <w:tab w:val="left" w:pos="220"/>
              </w:tabs>
              <w:rPr>
                <w:rFonts w:cs="Times New Roman"/>
              </w:rPr>
            </w:pPr>
            <w:r>
              <w:rPr>
                <w:rFonts w:cs="Times New Roman"/>
              </w:rPr>
              <w:t>Destroying the Earth: The Chemist Intervention (60pp)</w:t>
            </w:r>
          </w:p>
        </w:tc>
        <w:tc>
          <w:tcPr>
            <w:tcW w:w="1226" w:type="dxa"/>
          </w:tcPr>
          <w:p w14:paraId="1BE789C9">
            <w:pPr>
              <w:tabs>
                <w:tab w:val="left" w:pos="220"/>
              </w:tabs>
              <w:rPr>
                <w:rFonts w:cs="Times New Roman"/>
              </w:rPr>
            </w:pPr>
            <w:r>
              <w:rPr>
                <w:rFonts w:cs="Times New Roman"/>
              </w:rPr>
              <w:t>29</w:t>
            </w:r>
            <w:r>
              <w:rPr>
                <w:rFonts w:cs="Times New Roman"/>
                <w:vertAlign w:val="superscript"/>
              </w:rPr>
              <w:t>th</w:t>
            </w:r>
            <w:r>
              <w:rPr>
                <w:rFonts w:cs="Times New Roman"/>
              </w:rPr>
              <w:t xml:space="preserve"> Aug., 2019</w:t>
            </w:r>
          </w:p>
        </w:tc>
      </w:tr>
      <w:tr w14:paraId="5DCFD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78A00A0">
            <w:pPr>
              <w:tabs>
                <w:tab w:val="left" w:pos="220"/>
              </w:tabs>
              <w:rPr>
                <w:rFonts w:cs="Times New Roman"/>
              </w:rPr>
            </w:pPr>
            <w:r>
              <w:rPr>
                <w:rFonts w:cs="Times New Roman"/>
              </w:rPr>
              <w:t>83</w:t>
            </w:r>
          </w:p>
        </w:tc>
        <w:tc>
          <w:tcPr>
            <w:tcW w:w="3131" w:type="dxa"/>
          </w:tcPr>
          <w:p w14:paraId="3446D5F3">
            <w:pPr>
              <w:tabs>
                <w:tab w:val="left" w:pos="220"/>
              </w:tabs>
              <w:rPr>
                <w:rFonts w:cs="Times New Roman"/>
              </w:rPr>
            </w:pPr>
            <w:r>
              <w:rPr>
                <w:rFonts w:cs="Times New Roman"/>
              </w:rPr>
              <w:t>Prof. S.K.Omorogbe; B.Sc; M.Sc. (Lagos); PhD. (Ekpoma); PGDE (Benin)</w:t>
            </w:r>
          </w:p>
        </w:tc>
        <w:tc>
          <w:tcPr>
            <w:tcW w:w="1549" w:type="dxa"/>
          </w:tcPr>
          <w:p w14:paraId="1C8AA8F1">
            <w:pPr>
              <w:tabs>
                <w:tab w:val="left" w:pos="220"/>
              </w:tabs>
              <w:rPr>
                <w:rFonts w:cs="Times New Roman"/>
              </w:rPr>
            </w:pPr>
            <w:r>
              <w:rPr>
                <w:rFonts w:cs="Times New Roman"/>
              </w:rPr>
              <w:t>Sociology</w:t>
            </w:r>
          </w:p>
        </w:tc>
        <w:tc>
          <w:tcPr>
            <w:tcW w:w="2914" w:type="dxa"/>
          </w:tcPr>
          <w:p w14:paraId="0E7FDAFA">
            <w:pPr>
              <w:tabs>
                <w:tab w:val="left" w:pos="220"/>
              </w:tabs>
              <w:rPr>
                <w:rFonts w:cs="Times New Roman"/>
              </w:rPr>
            </w:pPr>
            <w:r>
              <w:rPr>
                <w:rFonts w:cs="Times New Roman"/>
              </w:rPr>
              <w:t>Sociological Imagination of the Crisis of Development in Nigeria (74pp)</w:t>
            </w:r>
          </w:p>
        </w:tc>
        <w:tc>
          <w:tcPr>
            <w:tcW w:w="1226" w:type="dxa"/>
          </w:tcPr>
          <w:p w14:paraId="5A006FDA">
            <w:pPr>
              <w:tabs>
                <w:tab w:val="left" w:pos="220"/>
              </w:tabs>
              <w:rPr>
                <w:rFonts w:cs="Times New Roman"/>
              </w:rPr>
            </w:pPr>
            <w:r>
              <w:rPr>
                <w:rFonts w:cs="Times New Roman"/>
              </w:rPr>
              <w:t>26</w:t>
            </w:r>
            <w:r>
              <w:rPr>
                <w:rFonts w:cs="Times New Roman"/>
                <w:vertAlign w:val="superscript"/>
              </w:rPr>
              <w:t>th</w:t>
            </w:r>
            <w:r>
              <w:rPr>
                <w:rFonts w:cs="Times New Roman"/>
              </w:rPr>
              <w:t xml:space="preserve"> Sep., 2019</w:t>
            </w:r>
          </w:p>
        </w:tc>
      </w:tr>
      <w:tr w14:paraId="316E8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0ABF1603">
            <w:pPr>
              <w:tabs>
                <w:tab w:val="left" w:pos="220"/>
              </w:tabs>
              <w:rPr>
                <w:rFonts w:cs="Times New Roman"/>
              </w:rPr>
            </w:pPr>
            <w:r>
              <w:rPr>
                <w:rFonts w:cs="Times New Roman"/>
              </w:rPr>
              <w:t>84</w:t>
            </w:r>
          </w:p>
        </w:tc>
        <w:tc>
          <w:tcPr>
            <w:tcW w:w="3131" w:type="dxa"/>
          </w:tcPr>
          <w:p w14:paraId="5FBC2E01">
            <w:pPr>
              <w:tabs>
                <w:tab w:val="left" w:pos="220"/>
              </w:tabs>
              <w:rPr>
                <w:rFonts w:cs="Times New Roman"/>
              </w:rPr>
            </w:pPr>
            <w:r>
              <w:rPr>
                <w:rFonts w:cs="Times New Roman"/>
              </w:rPr>
              <w:t>Prof. Musa O. V. Anavberojhai; B.Ed. (Ibadan); M.Ed; PhD (Benin)</w:t>
            </w:r>
          </w:p>
        </w:tc>
        <w:tc>
          <w:tcPr>
            <w:tcW w:w="1549" w:type="dxa"/>
          </w:tcPr>
          <w:p w14:paraId="513DD00D">
            <w:pPr>
              <w:tabs>
                <w:tab w:val="left" w:pos="220"/>
              </w:tabs>
              <w:rPr>
                <w:rFonts w:cs="Times New Roman"/>
              </w:rPr>
            </w:pPr>
            <w:r>
              <w:rPr>
                <w:rFonts w:cs="Times New Roman"/>
              </w:rPr>
              <w:t>Health Education</w:t>
            </w:r>
          </w:p>
        </w:tc>
        <w:tc>
          <w:tcPr>
            <w:tcW w:w="2914" w:type="dxa"/>
          </w:tcPr>
          <w:p w14:paraId="4B636DF2">
            <w:pPr>
              <w:tabs>
                <w:tab w:val="left" w:pos="220"/>
              </w:tabs>
              <w:rPr>
                <w:rFonts w:cs="Times New Roman"/>
              </w:rPr>
            </w:pPr>
            <w:r>
              <w:rPr>
                <w:rFonts w:cs="Times New Roman"/>
              </w:rPr>
              <w:t>Targeted Health Intervention: An Impactful Pathway to Improving Health of Nigerians (40pp)</w:t>
            </w:r>
          </w:p>
        </w:tc>
        <w:tc>
          <w:tcPr>
            <w:tcW w:w="1226" w:type="dxa"/>
          </w:tcPr>
          <w:p w14:paraId="407DB3FB">
            <w:pPr>
              <w:tabs>
                <w:tab w:val="left" w:pos="220"/>
              </w:tabs>
              <w:rPr>
                <w:rFonts w:cs="Times New Roman"/>
              </w:rPr>
            </w:pPr>
            <w:r>
              <w:rPr>
                <w:rFonts w:cs="Times New Roman"/>
              </w:rPr>
              <w:t>31</w:t>
            </w:r>
            <w:r>
              <w:rPr>
                <w:rFonts w:cs="Times New Roman"/>
                <w:vertAlign w:val="superscript"/>
              </w:rPr>
              <w:t>st</w:t>
            </w:r>
            <w:r>
              <w:rPr>
                <w:rFonts w:cs="Times New Roman"/>
              </w:rPr>
              <w:t xml:space="preserve"> Oct., 2019</w:t>
            </w:r>
          </w:p>
        </w:tc>
      </w:tr>
      <w:tr w14:paraId="66A08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7473974">
            <w:pPr>
              <w:tabs>
                <w:tab w:val="left" w:pos="220"/>
              </w:tabs>
              <w:rPr>
                <w:rFonts w:cs="Times New Roman"/>
              </w:rPr>
            </w:pPr>
            <w:r>
              <w:rPr>
                <w:rFonts w:cs="Times New Roman"/>
              </w:rPr>
              <w:t>85</w:t>
            </w:r>
          </w:p>
        </w:tc>
        <w:tc>
          <w:tcPr>
            <w:tcW w:w="3131" w:type="dxa"/>
          </w:tcPr>
          <w:p w14:paraId="0273FDDF">
            <w:pPr>
              <w:tabs>
                <w:tab w:val="left" w:pos="220"/>
              </w:tabs>
              <w:rPr>
                <w:rFonts w:cs="Times New Roman"/>
              </w:rPr>
            </w:pPr>
            <w:r>
              <w:rPr>
                <w:rFonts w:cs="Times New Roman"/>
              </w:rPr>
              <w:t>Prof. Nathaniel Osawe Oigiangbe; B.Sc; M.Sc; M.Ph; PhD (Benin)</w:t>
            </w:r>
          </w:p>
        </w:tc>
        <w:tc>
          <w:tcPr>
            <w:tcW w:w="1549" w:type="dxa"/>
          </w:tcPr>
          <w:p w14:paraId="36DF08B0">
            <w:pPr>
              <w:tabs>
                <w:tab w:val="left" w:pos="220"/>
              </w:tabs>
              <w:rPr>
                <w:rFonts w:cs="Times New Roman"/>
              </w:rPr>
            </w:pPr>
            <w:r>
              <w:rPr>
                <w:rFonts w:cs="Times New Roman"/>
              </w:rPr>
              <w:t>Zoology</w:t>
            </w:r>
          </w:p>
        </w:tc>
        <w:tc>
          <w:tcPr>
            <w:tcW w:w="2914" w:type="dxa"/>
          </w:tcPr>
          <w:p w14:paraId="255D1604">
            <w:pPr>
              <w:tabs>
                <w:tab w:val="left" w:pos="220"/>
              </w:tabs>
              <w:rPr>
                <w:rFonts w:cs="Times New Roman"/>
              </w:rPr>
            </w:pPr>
            <w:r>
              <w:rPr>
                <w:rFonts w:cs="Times New Roman"/>
              </w:rPr>
              <w:t>Crop Production Practices: The Best Options for Nigeria (49pp)</w:t>
            </w:r>
          </w:p>
        </w:tc>
        <w:tc>
          <w:tcPr>
            <w:tcW w:w="1226" w:type="dxa"/>
          </w:tcPr>
          <w:p w14:paraId="7F226C45">
            <w:pPr>
              <w:tabs>
                <w:tab w:val="left" w:pos="220"/>
              </w:tabs>
              <w:rPr>
                <w:rFonts w:cs="Times New Roman"/>
              </w:rPr>
            </w:pPr>
            <w:r>
              <w:rPr>
                <w:rFonts w:cs="Times New Roman"/>
              </w:rPr>
              <w:t>28</w:t>
            </w:r>
            <w:r>
              <w:rPr>
                <w:rFonts w:cs="Times New Roman"/>
                <w:vertAlign w:val="superscript"/>
              </w:rPr>
              <w:t>th</w:t>
            </w:r>
            <w:r>
              <w:rPr>
                <w:rFonts w:cs="Times New Roman"/>
              </w:rPr>
              <w:t xml:space="preserve"> Nov., 2019</w:t>
            </w:r>
          </w:p>
        </w:tc>
      </w:tr>
      <w:tr w14:paraId="34859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70B2929">
            <w:pPr>
              <w:tabs>
                <w:tab w:val="left" w:pos="220"/>
              </w:tabs>
              <w:rPr>
                <w:rFonts w:cs="Times New Roman"/>
              </w:rPr>
            </w:pPr>
            <w:r>
              <w:rPr>
                <w:rFonts w:cs="Times New Roman"/>
              </w:rPr>
              <w:t>86</w:t>
            </w:r>
          </w:p>
        </w:tc>
        <w:tc>
          <w:tcPr>
            <w:tcW w:w="3131" w:type="dxa"/>
          </w:tcPr>
          <w:p w14:paraId="4236EC5A">
            <w:pPr>
              <w:tabs>
                <w:tab w:val="left" w:pos="220"/>
              </w:tabs>
              <w:rPr>
                <w:rFonts w:cs="Times New Roman"/>
              </w:rPr>
            </w:pPr>
            <w:r>
              <w:rPr>
                <w:rFonts w:cs="Times New Roman"/>
              </w:rPr>
              <w:t>Prof. Obadoni Bernard Oyeneachi; B.Sc (Ekpoma); M.Sc (Ibadan); PhD (Ekpoma)</w:t>
            </w:r>
          </w:p>
        </w:tc>
        <w:tc>
          <w:tcPr>
            <w:tcW w:w="1549" w:type="dxa"/>
          </w:tcPr>
          <w:p w14:paraId="50160618">
            <w:pPr>
              <w:tabs>
                <w:tab w:val="left" w:pos="220"/>
              </w:tabs>
              <w:rPr>
                <w:rFonts w:cs="Times New Roman"/>
              </w:rPr>
            </w:pPr>
            <w:r>
              <w:rPr>
                <w:rFonts w:cs="Times New Roman"/>
              </w:rPr>
              <w:t>Botany</w:t>
            </w:r>
          </w:p>
        </w:tc>
        <w:tc>
          <w:tcPr>
            <w:tcW w:w="2914" w:type="dxa"/>
          </w:tcPr>
          <w:p w14:paraId="77F4B8E8">
            <w:pPr>
              <w:tabs>
                <w:tab w:val="left" w:pos="220"/>
              </w:tabs>
              <w:rPr>
                <w:rFonts w:cs="Times New Roman"/>
              </w:rPr>
            </w:pPr>
            <w:r>
              <w:rPr>
                <w:rFonts w:cs="Times New Roman"/>
              </w:rPr>
              <w:t>An Ecologist: a Man of Many Fields (51pp)</w:t>
            </w:r>
          </w:p>
        </w:tc>
        <w:tc>
          <w:tcPr>
            <w:tcW w:w="1226" w:type="dxa"/>
          </w:tcPr>
          <w:p w14:paraId="02669598">
            <w:pPr>
              <w:tabs>
                <w:tab w:val="left" w:pos="220"/>
              </w:tabs>
              <w:rPr>
                <w:rFonts w:cs="Times New Roman"/>
              </w:rPr>
            </w:pPr>
            <w:r>
              <w:rPr>
                <w:rFonts w:cs="Times New Roman"/>
              </w:rPr>
              <w:t>27</w:t>
            </w:r>
            <w:r>
              <w:rPr>
                <w:rFonts w:cs="Times New Roman"/>
                <w:vertAlign w:val="superscript"/>
              </w:rPr>
              <w:t>th</w:t>
            </w:r>
            <w:r>
              <w:rPr>
                <w:rFonts w:cs="Times New Roman"/>
              </w:rPr>
              <w:t xml:space="preserve"> Feb., 2020</w:t>
            </w:r>
          </w:p>
        </w:tc>
      </w:tr>
      <w:tr w14:paraId="44FFE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0525C82B">
            <w:pPr>
              <w:tabs>
                <w:tab w:val="left" w:pos="220"/>
              </w:tabs>
              <w:rPr>
                <w:rFonts w:cs="Times New Roman"/>
              </w:rPr>
            </w:pPr>
            <w:r>
              <w:rPr>
                <w:rFonts w:cs="Times New Roman"/>
              </w:rPr>
              <w:t>87</w:t>
            </w:r>
          </w:p>
        </w:tc>
        <w:tc>
          <w:tcPr>
            <w:tcW w:w="3131" w:type="dxa"/>
          </w:tcPr>
          <w:p w14:paraId="157CD844">
            <w:pPr>
              <w:tabs>
                <w:tab w:val="left" w:pos="220"/>
              </w:tabs>
              <w:rPr>
                <w:rFonts w:cs="Times New Roman"/>
              </w:rPr>
            </w:pPr>
            <w:r>
              <w:rPr>
                <w:rFonts w:cs="Times New Roman"/>
              </w:rPr>
              <w:t>Prof. Lawrence Isemibeta Aguele; IMAN; NCE (Katsina); B.Ed (Zaria); M.Ed (Nsukka); PGDE (Benin); PhD (Nsukka)</w:t>
            </w:r>
          </w:p>
        </w:tc>
        <w:tc>
          <w:tcPr>
            <w:tcW w:w="1549" w:type="dxa"/>
          </w:tcPr>
          <w:p w14:paraId="7181567B">
            <w:pPr>
              <w:tabs>
                <w:tab w:val="left" w:pos="220"/>
              </w:tabs>
              <w:rPr>
                <w:rFonts w:cs="Times New Roman"/>
              </w:rPr>
            </w:pPr>
            <w:r>
              <w:rPr>
                <w:rFonts w:cs="Times New Roman"/>
              </w:rPr>
              <w:t>Curriculum and Instruction</w:t>
            </w:r>
          </w:p>
        </w:tc>
        <w:tc>
          <w:tcPr>
            <w:tcW w:w="2914" w:type="dxa"/>
          </w:tcPr>
          <w:p w14:paraId="09DFAC37">
            <w:pPr>
              <w:tabs>
                <w:tab w:val="left" w:pos="220"/>
              </w:tabs>
              <w:rPr>
                <w:rFonts w:cs="Times New Roman"/>
              </w:rPr>
            </w:pPr>
            <w:r>
              <w:rPr>
                <w:rFonts w:cs="Times New Roman"/>
              </w:rPr>
              <w:t>Mathematics Education in Nigeria: Issues and Way Forward (49pp)</w:t>
            </w:r>
          </w:p>
        </w:tc>
        <w:tc>
          <w:tcPr>
            <w:tcW w:w="1226" w:type="dxa"/>
          </w:tcPr>
          <w:p w14:paraId="64DE7373">
            <w:pPr>
              <w:tabs>
                <w:tab w:val="left" w:pos="220"/>
              </w:tabs>
              <w:rPr>
                <w:rFonts w:cs="Times New Roman"/>
              </w:rPr>
            </w:pPr>
            <w:r>
              <w:rPr>
                <w:rFonts w:cs="Times New Roman"/>
              </w:rPr>
              <w:t>28</w:t>
            </w:r>
            <w:r>
              <w:rPr>
                <w:rFonts w:cs="Times New Roman"/>
                <w:vertAlign w:val="superscript"/>
              </w:rPr>
              <w:t>th</w:t>
            </w:r>
            <w:r>
              <w:rPr>
                <w:rFonts w:cs="Times New Roman"/>
              </w:rPr>
              <w:t xml:space="preserve"> Jan., 2021</w:t>
            </w:r>
          </w:p>
        </w:tc>
      </w:tr>
      <w:tr w14:paraId="30620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2893F5FE">
            <w:pPr>
              <w:tabs>
                <w:tab w:val="left" w:pos="220"/>
              </w:tabs>
              <w:rPr>
                <w:rFonts w:cs="Times New Roman"/>
              </w:rPr>
            </w:pPr>
            <w:r>
              <w:rPr>
                <w:rFonts w:cs="Times New Roman"/>
              </w:rPr>
              <w:t>88</w:t>
            </w:r>
          </w:p>
        </w:tc>
        <w:tc>
          <w:tcPr>
            <w:tcW w:w="3131" w:type="dxa"/>
          </w:tcPr>
          <w:p w14:paraId="4F50D71B">
            <w:pPr>
              <w:tabs>
                <w:tab w:val="left" w:pos="220"/>
              </w:tabs>
              <w:rPr>
                <w:rFonts w:cs="Times New Roman"/>
              </w:rPr>
            </w:pPr>
            <w:r>
              <w:rPr>
                <w:rFonts w:cs="Times New Roman"/>
              </w:rPr>
              <w:t>Prof. Okogun Godwin Ray Anugboba; AIMLS (Nig.); PGD MLS; M.Sc (IMSU); PGD. Proj. Mgt; MBA (FUTO); PhD (IMSU); FMLSCN; FWCMLS</w:t>
            </w:r>
          </w:p>
        </w:tc>
        <w:tc>
          <w:tcPr>
            <w:tcW w:w="1549" w:type="dxa"/>
          </w:tcPr>
          <w:p w14:paraId="6B590BBC">
            <w:pPr>
              <w:tabs>
                <w:tab w:val="left" w:pos="220"/>
              </w:tabs>
              <w:rPr>
                <w:rFonts w:cs="Times New Roman"/>
              </w:rPr>
            </w:pPr>
            <w:r>
              <w:rPr>
                <w:rFonts w:cs="Times New Roman"/>
              </w:rPr>
              <w:t>Medical Laboratory Science</w:t>
            </w:r>
          </w:p>
        </w:tc>
        <w:tc>
          <w:tcPr>
            <w:tcW w:w="2914" w:type="dxa"/>
          </w:tcPr>
          <w:p w14:paraId="52241ED6">
            <w:pPr>
              <w:tabs>
                <w:tab w:val="left" w:pos="220"/>
              </w:tabs>
              <w:rPr>
                <w:rFonts w:cs="Times New Roman"/>
              </w:rPr>
            </w:pPr>
            <w:r>
              <w:rPr>
                <w:rFonts w:cs="Times New Roman"/>
              </w:rPr>
              <w:t>Exploring Insects and Microbial Resources for human Health and Longevity: Unfolding the Mystery (124pp)</w:t>
            </w:r>
          </w:p>
        </w:tc>
        <w:tc>
          <w:tcPr>
            <w:tcW w:w="1226" w:type="dxa"/>
          </w:tcPr>
          <w:p w14:paraId="4EBFD52D">
            <w:pPr>
              <w:tabs>
                <w:tab w:val="left" w:pos="220"/>
              </w:tabs>
              <w:rPr>
                <w:rFonts w:cs="Times New Roman"/>
              </w:rPr>
            </w:pPr>
            <w:r>
              <w:rPr>
                <w:rFonts w:cs="Times New Roman"/>
              </w:rPr>
              <w:t>25</w:t>
            </w:r>
            <w:r>
              <w:rPr>
                <w:rFonts w:cs="Times New Roman"/>
                <w:vertAlign w:val="superscript"/>
              </w:rPr>
              <w:t>th</w:t>
            </w:r>
            <w:r>
              <w:rPr>
                <w:rFonts w:cs="Times New Roman"/>
              </w:rPr>
              <w:t xml:space="preserve"> Feb., 2021</w:t>
            </w:r>
          </w:p>
        </w:tc>
      </w:tr>
      <w:tr w14:paraId="3BC9C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trPr>
        <w:tc>
          <w:tcPr>
            <w:tcW w:w="625" w:type="dxa"/>
          </w:tcPr>
          <w:p w14:paraId="3C89F69D">
            <w:pPr>
              <w:tabs>
                <w:tab w:val="left" w:pos="220"/>
              </w:tabs>
              <w:rPr>
                <w:rFonts w:cs="Times New Roman"/>
              </w:rPr>
            </w:pPr>
            <w:r>
              <w:rPr>
                <w:rFonts w:cs="Times New Roman"/>
              </w:rPr>
              <w:t>89</w:t>
            </w:r>
          </w:p>
        </w:tc>
        <w:tc>
          <w:tcPr>
            <w:tcW w:w="3131" w:type="dxa"/>
          </w:tcPr>
          <w:p w14:paraId="13C6C53F">
            <w:pPr>
              <w:tabs>
                <w:tab w:val="left" w:pos="220"/>
              </w:tabs>
              <w:rPr>
                <w:rFonts w:cs="Times New Roman"/>
              </w:rPr>
            </w:pPr>
            <w:r>
              <w:rPr>
                <w:rFonts w:cs="Times New Roman"/>
              </w:rPr>
              <w:t>Prof. Engr. Prof. Osagie Ighodalo; B.Eng (Ekpoma); M.Sc (Ibadan); PhD (Ekpoma); MNSE; R. Engr (COREN)</w:t>
            </w:r>
          </w:p>
        </w:tc>
        <w:tc>
          <w:tcPr>
            <w:tcW w:w="1549" w:type="dxa"/>
          </w:tcPr>
          <w:p w14:paraId="4B89BE0E">
            <w:pPr>
              <w:tabs>
                <w:tab w:val="left" w:pos="220"/>
              </w:tabs>
              <w:rPr>
                <w:rFonts w:cs="Times New Roman"/>
              </w:rPr>
            </w:pPr>
            <w:r>
              <w:rPr>
                <w:rFonts w:cs="Times New Roman"/>
              </w:rPr>
              <w:t>Mechanical Engineering</w:t>
            </w:r>
          </w:p>
        </w:tc>
        <w:tc>
          <w:tcPr>
            <w:tcW w:w="2914" w:type="dxa"/>
          </w:tcPr>
          <w:p w14:paraId="7E4CF374">
            <w:pPr>
              <w:tabs>
                <w:tab w:val="left" w:pos="220"/>
              </w:tabs>
              <w:rPr>
                <w:rFonts w:cs="Times New Roman"/>
              </w:rPr>
            </w:pPr>
            <w:r>
              <w:rPr>
                <w:rFonts w:cs="Times New Roman"/>
              </w:rPr>
              <w:t>Thermal Systems: Profiling Solutions Toward Sustainable Development (Nigeria and Developing Nations in Focus) (43pp)</w:t>
            </w:r>
          </w:p>
        </w:tc>
        <w:tc>
          <w:tcPr>
            <w:tcW w:w="1226" w:type="dxa"/>
          </w:tcPr>
          <w:p w14:paraId="69249735">
            <w:pPr>
              <w:tabs>
                <w:tab w:val="left" w:pos="220"/>
              </w:tabs>
              <w:rPr>
                <w:rFonts w:cs="Times New Roman"/>
              </w:rPr>
            </w:pPr>
            <w:r>
              <w:rPr>
                <w:rFonts w:cs="Times New Roman"/>
              </w:rPr>
              <w:t>25</w:t>
            </w:r>
            <w:r>
              <w:rPr>
                <w:rFonts w:cs="Times New Roman"/>
                <w:vertAlign w:val="superscript"/>
              </w:rPr>
              <w:t>th</w:t>
            </w:r>
            <w:r>
              <w:rPr>
                <w:rFonts w:cs="Times New Roman"/>
              </w:rPr>
              <w:t xml:space="preserve"> Mar., 2021</w:t>
            </w:r>
          </w:p>
        </w:tc>
      </w:tr>
      <w:tr w14:paraId="14778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6BE414C">
            <w:pPr>
              <w:tabs>
                <w:tab w:val="left" w:pos="220"/>
              </w:tabs>
              <w:rPr>
                <w:rFonts w:cs="Times New Roman"/>
              </w:rPr>
            </w:pPr>
            <w:r>
              <w:rPr>
                <w:rFonts w:cs="Times New Roman"/>
              </w:rPr>
              <w:t>90</w:t>
            </w:r>
          </w:p>
        </w:tc>
        <w:tc>
          <w:tcPr>
            <w:tcW w:w="3131" w:type="dxa"/>
          </w:tcPr>
          <w:p w14:paraId="0BDBE325">
            <w:pPr>
              <w:tabs>
                <w:tab w:val="left" w:pos="220"/>
              </w:tabs>
              <w:rPr>
                <w:rFonts w:cs="Times New Roman"/>
              </w:rPr>
            </w:pPr>
            <w:r>
              <w:rPr>
                <w:rFonts w:cs="Times New Roman"/>
              </w:rPr>
              <w:t>Prof. Liu Oghie Comas Adomeh; B.S.T. (Rome); M.Ed (Ibadan); PhD (Benin)</w:t>
            </w:r>
          </w:p>
        </w:tc>
        <w:tc>
          <w:tcPr>
            <w:tcW w:w="1549" w:type="dxa"/>
          </w:tcPr>
          <w:p w14:paraId="0DA5B073">
            <w:pPr>
              <w:tabs>
                <w:tab w:val="left" w:pos="220"/>
              </w:tabs>
              <w:rPr>
                <w:rFonts w:cs="Times New Roman"/>
              </w:rPr>
            </w:pPr>
            <w:r>
              <w:rPr>
                <w:rFonts w:cs="Times New Roman"/>
              </w:rPr>
              <w:t>Guidance and Counselling</w:t>
            </w:r>
          </w:p>
        </w:tc>
        <w:tc>
          <w:tcPr>
            <w:tcW w:w="2914" w:type="dxa"/>
          </w:tcPr>
          <w:p w14:paraId="286EF37C">
            <w:pPr>
              <w:tabs>
                <w:tab w:val="left" w:pos="220"/>
              </w:tabs>
              <w:rPr>
                <w:rFonts w:cs="Times New Roman"/>
              </w:rPr>
            </w:pPr>
            <w:r>
              <w:rPr>
                <w:rFonts w:cs="Times New Roman"/>
              </w:rPr>
              <w:t>Counselling Effectiveness in Our Schools: The Arguments and Counter Arguments</w:t>
            </w:r>
          </w:p>
        </w:tc>
        <w:tc>
          <w:tcPr>
            <w:tcW w:w="1226" w:type="dxa"/>
          </w:tcPr>
          <w:p w14:paraId="437FAF5E">
            <w:pPr>
              <w:tabs>
                <w:tab w:val="left" w:pos="220"/>
              </w:tabs>
              <w:rPr>
                <w:rFonts w:cs="Times New Roman"/>
              </w:rPr>
            </w:pPr>
            <w:r>
              <w:rPr>
                <w:rFonts w:cs="Times New Roman"/>
              </w:rPr>
              <w:t>29</w:t>
            </w:r>
            <w:r>
              <w:rPr>
                <w:rFonts w:cs="Times New Roman"/>
                <w:vertAlign w:val="superscript"/>
              </w:rPr>
              <w:t>th</w:t>
            </w:r>
            <w:r>
              <w:rPr>
                <w:rFonts w:cs="Times New Roman"/>
              </w:rPr>
              <w:t xml:space="preserve"> Apr., 2021</w:t>
            </w:r>
          </w:p>
        </w:tc>
      </w:tr>
      <w:tr w14:paraId="16B7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7D1F69E">
            <w:pPr>
              <w:tabs>
                <w:tab w:val="left" w:pos="220"/>
              </w:tabs>
              <w:rPr>
                <w:rFonts w:cs="Times New Roman"/>
              </w:rPr>
            </w:pPr>
            <w:r>
              <w:rPr>
                <w:rFonts w:cs="Times New Roman"/>
              </w:rPr>
              <w:t>91</w:t>
            </w:r>
          </w:p>
        </w:tc>
        <w:tc>
          <w:tcPr>
            <w:tcW w:w="3131" w:type="dxa"/>
          </w:tcPr>
          <w:p w14:paraId="5CEEDF64">
            <w:pPr>
              <w:tabs>
                <w:tab w:val="left" w:pos="220"/>
              </w:tabs>
              <w:rPr>
                <w:rFonts w:cs="Times New Roman"/>
              </w:rPr>
            </w:pPr>
            <w:r>
              <w:rPr>
                <w:rFonts w:cs="Times New Roman"/>
              </w:rPr>
              <w:t>Prof. Alenoto Aigbodioh; B.A; M.A; PhD (Ibadan)</w:t>
            </w:r>
          </w:p>
        </w:tc>
        <w:tc>
          <w:tcPr>
            <w:tcW w:w="1549" w:type="dxa"/>
          </w:tcPr>
          <w:p w14:paraId="52FCF0EB">
            <w:pPr>
              <w:tabs>
                <w:tab w:val="left" w:pos="220"/>
              </w:tabs>
              <w:rPr>
                <w:rFonts w:cs="Times New Roman"/>
              </w:rPr>
            </w:pPr>
            <w:r>
              <w:rPr>
                <w:rFonts w:cs="Times New Roman"/>
              </w:rPr>
              <w:t>Philosophy</w:t>
            </w:r>
          </w:p>
        </w:tc>
        <w:tc>
          <w:tcPr>
            <w:tcW w:w="2914" w:type="dxa"/>
          </w:tcPr>
          <w:p w14:paraId="4CB34F4C">
            <w:pPr>
              <w:tabs>
                <w:tab w:val="left" w:pos="220"/>
              </w:tabs>
              <w:rPr>
                <w:rFonts w:cs="Times New Roman"/>
              </w:rPr>
            </w:pPr>
            <w:r>
              <w:rPr>
                <w:rFonts w:cs="Times New Roman"/>
              </w:rPr>
              <w:t>The Africa Experience, the Humanistic and Scientism of Development Whodunit?</w:t>
            </w:r>
          </w:p>
        </w:tc>
        <w:tc>
          <w:tcPr>
            <w:tcW w:w="1226" w:type="dxa"/>
          </w:tcPr>
          <w:p w14:paraId="15F5EDFB">
            <w:pPr>
              <w:tabs>
                <w:tab w:val="left" w:pos="220"/>
              </w:tabs>
              <w:rPr>
                <w:rFonts w:cs="Times New Roman"/>
              </w:rPr>
            </w:pPr>
            <w:r>
              <w:rPr>
                <w:rFonts w:cs="Times New Roman"/>
              </w:rPr>
              <w:t>30</w:t>
            </w:r>
            <w:r>
              <w:rPr>
                <w:rFonts w:cs="Times New Roman"/>
                <w:vertAlign w:val="superscript"/>
              </w:rPr>
              <w:t>th</w:t>
            </w:r>
            <w:r>
              <w:rPr>
                <w:rFonts w:cs="Times New Roman"/>
              </w:rPr>
              <w:t xml:space="preserve"> Sep., 2021</w:t>
            </w:r>
          </w:p>
        </w:tc>
      </w:tr>
      <w:tr w14:paraId="03CB1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625" w:type="dxa"/>
          </w:tcPr>
          <w:p w14:paraId="142C97C7">
            <w:pPr>
              <w:tabs>
                <w:tab w:val="left" w:pos="220"/>
              </w:tabs>
              <w:rPr>
                <w:rFonts w:cs="Times New Roman"/>
              </w:rPr>
            </w:pPr>
            <w:r>
              <w:rPr>
                <w:rFonts w:cs="Times New Roman"/>
              </w:rPr>
              <w:t>92</w:t>
            </w:r>
          </w:p>
        </w:tc>
        <w:tc>
          <w:tcPr>
            <w:tcW w:w="3131" w:type="dxa"/>
          </w:tcPr>
          <w:p w14:paraId="0DC76F29">
            <w:pPr>
              <w:tabs>
                <w:tab w:val="left" w:pos="220"/>
              </w:tabs>
              <w:rPr>
                <w:rFonts w:cs="Times New Roman"/>
              </w:rPr>
            </w:pPr>
            <w:r>
              <w:rPr>
                <w:rFonts w:cs="Times New Roman"/>
              </w:rPr>
              <w:t>Prof. Aigbokhaevbolo Monday Oziegbe; B.Sc (Kano); MBA (Nsukka); PhD (Benin)</w:t>
            </w:r>
          </w:p>
        </w:tc>
        <w:tc>
          <w:tcPr>
            <w:tcW w:w="1549" w:type="dxa"/>
          </w:tcPr>
          <w:p w14:paraId="37001E69">
            <w:pPr>
              <w:tabs>
                <w:tab w:val="left" w:pos="220"/>
              </w:tabs>
              <w:rPr>
                <w:rFonts w:cs="Times New Roman"/>
              </w:rPr>
            </w:pPr>
            <w:r>
              <w:rPr>
                <w:rFonts w:cs="Times New Roman"/>
              </w:rPr>
              <w:t>Accounting</w:t>
            </w:r>
          </w:p>
        </w:tc>
        <w:tc>
          <w:tcPr>
            <w:tcW w:w="2914" w:type="dxa"/>
          </w:tcPr>
          <w:p w14:paraId="1A9B638F">
            <w:pPr>
              <w:tabs>
                <w:tab w:val="left" w:pos="220"/>
              </w:tabs>
              <w:rPr>
                <w:rFonts w:cs="Times New Roman"/>
              </w:rPr>
            </w:pPr>
            <w:r>
              <w:rPr>
                <w:rFonts w:cs="Times New Roman"/>
              </w:rPr>
              <w:t>Seek first the Laws of Entity with its Corporate Governance and Sustainability of the Entity Shall be Achieved (61pp)</w:t>
            </w:r>
          </w:p>
        </w:tc>
        <w:tc>
          <w:tcPr>
            <w:tcW w:w="1226" w:type="dxa"/>
          </w:tcPr>
          <w:p w14:paraId="56472E61">
            <w:pPr>
              <w:tabs>
                <w:tab w:val="left" w:pos="220"/>
              </w:tabs>
              <w:rPr>
                <w:rFonts w:cs="Times New Roman"/>
              </w:rPr>
            </w:pPr>
            <w:r>
              <w:rPr>
                <w:rFonts w:cs="Times New Roman"/>
              </w:rPr>
              <w:t>28</w:t>
            </w:r>
            <w:r>
              <w:rPr>
                <w:rFonts w:cs="Times New Roman"/>
                <w:vertAlign w:val="superscript"/>
              </w:rPr>
              <w:t>th</w:t>
            </w:r>
            <w:r>
              <w:rPr>
                <w:rFonts w:cs="Times New Roman"/>
              </w:rPr>
              <w:t xml:space="preserve"> Oct., 2021</w:t>
            </w:r>
          </w:p>
        </w:tc>
      </w:tr>
      <w:tr w14:paraId="72BFB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2199656C">
            <w:pPr>
              <w:tabs>
                <w:tab w:val="left" w:pos="220"/>
              </w:tabs>
              <w:rPr>
                <w:rFonts w:cs="Times New Roman"/>
              </w:rPr>
            </w:pPr>
            <w:r>
              <w:rPr>
                <w:rFonts w:cs="Times New Roman"/>
              </w:rPr>
              <w:t>93</w:t>
            </w:r>
          </w:p>
        </w:tc>
        <w:tc>
          <w:tcPr>
            <w:tcW w:w="3131" w:type="dxa"/>
          </w:tcPr>
          <w:p w14:paraId="14D4A924">
            <w:pPr>
              <w:tabs>
                <w:tab w:val="left" w:pos="220"/>
              </w:tabs>
              <w:rPr>
                <w:rFonts w:cs="Times New Roman"/>
              </w:rPr>
            </w:pPr>
            <w:r>
              <w:rPr>
                <w:rFonts w:cs="Times New Roman"/>
              </w:rPr>
              <w:t>Prof. Augustine Itohan Ojugo; B.Ed (Benin); M.Ed; PhD (Nsukka)</w:t>
            </w:r>
          </w:p>
        </w:tc>
        <w:tc>
          <w:tcPr>
            <w:tcW w:w="1549" w:type="dxa"/>
          </w:tcPr>
          <w:p w14:paraId="3D6999CD">
            <w:pPr>
              <w:tabs>
                <w:tab w:val="left" w:pos="220"/>
              </w:tabs>
              <w:rPr>
                <w:rFonts w:cs="Times New Roman"/>
              </w:rPr>
            </w:pPr>
            <w:r>
              <w:rPr>
                <w:rFonts w:cs="Times New Roman"/>
              </w:rPr>
              <w:t>Guidance and Counselling</w:t>
            </w:r>
          </w:p>
        </w:tc>
        <w:tc>
          <w:tcPr>
            <w:tcW w:w="2914" w:type="dxa"/>
          </w:tcPr>
          <w:p w14:paraId="173E3181">
            <w:pPr>
              <w:tabs>
                <w:tab w:val="left" w:pos="220"/>
              </w:tabs>
              <w:rPr>
                <w:rFonts w:cs="Times New Roman"/>
              </w:rPr>
            </w:pPr>
            <w:r>
              <w:rPr>
                <w:rFonts w:cs="Times New Roman"/>
              </w:rPr>
              <w:t>Neglected Pathway in Guidance and Counselling in Nigeria</w:t>
            </w:r>
          </w:p>
        </w:tc>
        <w:tc>
          <w:tcPr>
            <w:tcW w:w="1226" w:type="dxa"/>
          </w:tcPr>
          <w:p w14:paraId="47FDE825">
            <w:pPr>
              <w:tabs>
                <w:tab w:val="left" w:pos="220"/>
              </w:tabs>
              <w:rPr>
                <w:rFonts w:cs="Times New Roman"/>
              </w:rPr>
            </w:pPr>
            <w:r>
              <w:rPr>
                <w:rFonts w:cs="Times New Roman"/>
              </w:rPr>
              <w:t>25</w:t>
            </w:r>
            <w:r>
              <w:rPr>
                <w:rFonts w:cs="Times New Roman"/>
                <w:vertAlign w:val="superscript"/>
              </w:rPr>
              <w:t>th</w:t>
            </w:r>
            <w:r>
              <w:rPr>
                <w:rFonts w:cs="Times New Roman"/>
              </w:rPr>
              <w:t xml:space="preserve"> Nov., 2021</w:t>
            </w:r>
          </w:p>
        </w:tc>
      </w:tr>
      <w:tr w14:paraId="49771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0951BBD">
            <w:pPr>
              <w:tabs>
                <w:tab w:val="left" w:pos="220"/>
              </w:tabs>
              <w:rPr>
                <w:rFonts w:cs="Times New Roman"/>
              </w:rPr>
            </w:pPr>
            <w:r>
              <w:rPr>
                <w:rFonts w:cs="Times New Roman"/>
              </w:rPr>
              <w:t>94</w:t>
            </w:r>
          </w:p>
        </w:tc>
        <w:tc>
          <w:tcPr>
            <w:tcW w:w="3131" w:type="dxa"/>
          </w:tcPr>
          <w:p w14:paraId="33560132">
            <w:pPr>
              <w:tabs>
                <w:tab w:val="left" w:pos="220"/>
              </w:tabs>
              <w:rPr>
                <w:rFonts w:cs="Times New Roman"/>
              </w:rPr>
            </w:pPr>
            <w:r>
              <w:rPr>
                <w:rFonts w:cs="Times New Roman"/>
              </w:rPr>
              <w:t>Prof. F. U. Igene; B.Sc; M.Sc; PhD (Ekpoma)</w:t>
            </w:r>
          </w:p>
        </w:tc>
        <w:tc>
          <w:tcPr>
            <w:tcW w:w="1549" w:type="dxa"/>
          </w:tcPr>
          <w:p w14:paraId="0578A559">
            <w:pPr>
              <w:tabs>
                <w:tab w:val="left" w:pos="220"/>
              </w:tabs>
              <w:rPr>
                <w:rFonts w:cs="Times New Roman"/>
              </w:rPr>
            </w:pPr>
            <w:r>
              <w:rPr>
                <w:rFonts w:cs="Times New Roman"/>
              </w:rPr>
              <w:t>Animal Nutrition and Biochemistry</w:t>
            </w:r>
          </w:p>
        </w:tc>
        <w:tc>
          <w:tcPr>
            <w:tcW w:w="2914" w:type="dxa"/>
          </w:tcPr>
          <w:p w14:paraId="006BF412">
            <w:pPr>
              <w:tabs>
                <w:tab w:val="left" w:pos="220"/>
              </w:tabs>
              <w:rPr>
                <w:rFonts w:cs="Times New Roman"/>
              </w:rPr>
            </w:pPr>
            <w:r>
              <w:rPr>
                <w:rFonts w:cs="Times New Roman"/>
              </w:rPr>
              <w:t>Monogastrics for Sustainable Food Security: Improved Health Condition and Poverty Alleviation</w:t>
            </w:r>
          </w:p>
        </w:tc>
        <w:tc>
          <w:tcPr>
            <w:tcW w:w="1226" w:type="dxa"/>
          </w:tcPr>
          <w:p w14:paraId="487EF483">
            <w:pPr>
              <w:tabs>
                <w:tab w:val="left" w:pos="220"/>
              </w:tabs>
              <w:rPr>
                <w:rFonts w:cs="Times New Roman"/>
              </w:rPr>
            </w:pPr>
            <w:r>
              <w:rPr>
                <w:rFonts w:cs="Times New Roman"/>
              </w:rPr>
              <w:t>27</w:t>
            </w:r>
            <w:r>
              <w:rPr>
                <w:rFonts w:cs="Times New Roman"/>
                <w:vertAlign w:val="superscript"/>
              </w:rPr>
              <w:t>th</w:t>
            </w:r>
            <w:r>
              <w:rPr>
                <w:rFonts w:cs="Times New Roman"/>
              </w:rPr>
              <w:t xml:space="preserve"> Jan., 2022</w:t>
            </w:r>
          </w:p>
        </w:tc>
      </w:tr>
      <w:tr w14:paraId="4B96F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803B2DB">
            <w:pPr>
              <w:tabs>
                <w:tab w:val="left" w:pos="220"/>
              </w:tabs>
              <w:rPr>
                <w:rFonts w:cs="Times New Roman"/>
              </w:rPr>
            </w:pPr>
            <w:r>
              <w:rPr>
                <w:rFonts w:cs="Times New Roman"/>
              </w:rPr>
              <w:t>95</w:t>
            </w:r>
          </w:p>
        </w:tc>
        <w:tc>
          <w:tcPr>
            <w:tcW w:w="3131" w:type="dxa"/>
          </w:tcPr>
          <w:p w14:paraId="40F16FB3">
            <w:pPr>
              <w:tabs>
                <w:tab w:val="left" w:pos="220"/>
              </w:tabs>
              <w:rPr>
                <w:rFonts w:cs="Times New Roman"/>
              </w:rPr>
            </w:pPr>
            <w:r>
              <w:rPr>
                <w:rFonts w:cs="Times New Roman"/>
              </w:rPr>
              <w:t xml:space="preserve">Prof. Areboje Marshall Azeke; B.Sc; M.Sc (Ekpoma); PhD (Bonn) </w:t>
            </w:r>
          </w:p>
        </w:tc>
        <w:tc>
          <w:tcPr>
            <w:tcW w:w="1549" w:type="dxa"/>
          </w:tcPr>
          <w:p w14:paraId="0956EE7D">
            <w:pPr>
              <w:tabs>
                <w:tab w:val="left" w:pos="220"/>
              </w:tabs>
              <w:rPr>
                <w:rFonts w:cs="Times New Roman"/>
              </w:rPr>
            </w:pPr>
            <w:r>
              <w:rPr>
                <w:rFonts w:cs="Times New Roman"/>
              </w:rPr>
              <w:t>Biochemistry</w:t>
            </w:r>
          </w:p>
        </w:tc>
        <w:tc>
          <w:tcPr>
            <w:tcW w:w="2914" w:type="dxa"/>
          </w:tcPr>
          <w:p w14:paraId="6707D752">
            <w:pPr>
              <w:tabs>
                <w:tab w:val="left" w:pos="220"/>
              </w:tabs>
              <w:rPr>
                <w:rFonts w:cs="Times New Roman"/>
              </w:rPr>
            </w:pPr>
            <w:r>
              <w:rPr>
                <w:rFonts w:cs="Times New Roman"/>
              </w:rPr>
              <w:t>Functional Foods: Making Food Your Medicine</w:t>
            </w:r>
          </w:p>
        </w:tc>
        <w:tc>
          <w:tcPr>
            <w:tcW w:w="1226" w:type="dxa"/>
          </w:tcPr>
          <w:p w14:paraId="32DC618C">
            <w:pPr>
              <w:tabs>
                <w:tab w:val="left" w:pos="220"/>
              </w:tabs>
              <w:rPr>
                <w:rFonts w:cs="Times New Roman"/>
              </w:rPr>
            </w:pPr>
            <w:r>
              <w:rPr>
                <w:rFonts w:cs="Times New Roman"/>
              </w:rPr>
              <w:t>24</w:t>
            </w:r>
            <w:r>
              <w:rPr>
                <w:rFonts w:cs="Times New Roman"/>
                <w:vertAlign w:val="superscript"/>
              </w:rPr>
              <w:t>th</w:t>
            </w:r>
            <w:r>
              <w:rPr>
                <w:rFonts w:cs="Times New Roman"/>
              </w:rPr>
              <w:t xml:space="preserve"> Feb., 2022</w:t>
            </w:r>
          </w:p>
        </w:tc>
      </w:tr>
      <w:tr w14:paraId="3FF66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A4A5754">
            <w:pPr>
              <w:tabs>
                <w:tab w:val="left" w:pos="220"/>
              </w:tabs>
              <w:rPr>
                <w:rFonts w:cs="Times New Roman"/>
              </w:rPr>
            </w:pPr>
            <w:r>
              <w:rPr>
                <w:rFonts w:cs="Times New Roman"/>
              </w:rPr>
              <w:t>96</w:t>
            </w:r>
          </w:p>
        </w:tc>
        <w:tc>
          <w:tcPr>
            <w:tcW w:w="3131" w:type="dxa"/>
          </w:tcPr>
          <w:p w14:paraId="11053B3D">
            <w:pPr>
              <w:tabs>
                <w:tab w:val="left" w:pos="220"/>
              </w:tabs>
              <w:rPr>
                <w:rFonts w:cs="Times New Roman"/>
              </w:rPr>
            </w:pPr>
            <w:r>
              <w:rPr>
                <w:rFonts w:cs="Times New Roman"/>
              </w:rPr>
              <w:t>Prof. Isaac Aigbedion; B.Sc; M.Sc (Ekpoma); PhD (Benin); Dip. (Dubai)</w:t>
            </w:r>
          </w:p>
        </w:tc>
        <w:tc>
          <w:tcPr>
            <w:tcW w:w="1549" w:type="dxa"/>
          </w:tcPr>
          <w:p w14:paraId="10BE413F">
            <w:pPr>
              <w:tabs>
                <w:tab w:val="left" w:pos="220"/>
              </w:tabs>
              <w:rPr>
                <w:rFonts w:cs="Times New Roman"/>
              </w:rPr>
            </w:pPr>
            <w:r>
              <w:rPr>
                <w:rFonts w:cs="Times New Roman"/>
              </w:rPr>
              <w:t>Exploration Geophysics</w:t>
            </w:r>
          </w:p>
        </w:tc>
        <w:tc>
          <w:tcPr>
            <w:tcW w:w="2914" w:type="dxa"/>
          </w:tcPr>
          <w:p w14:paraId="6DD9B632">
            <w:pPr>
              <w:tabs>
                <w:tab w:val="left" w:pos="220"/>
              </w:tabs>
              <w:rPr>
                <w:rFonts w:cs="Times New Roman"/>
              </w:rPr>
            </w:pPr>
            <w:r>
              <w:rPr>
                <w:rFonts w:cs="Times New Roman"/>
              </w:rPr>
              <w:t>Footprints of the Geoscientists: The Bedrock of Man’s Survivability in Nature Treasure Trove</w:t>
            </w:r>
          </w:p>
        </w:tc>
        <w:tc>
          <w:tcPr>
            <w:tcW w:w="1226" w:type="dxa"/>
          </w:tcPr>
          <w:p w14:paraId="542F91BA">
            <w:pPr>
              <w:tabs>
                <w:tab w:val="left" w:pos="220"/>
              </w:tabs>
              <w:rPr>
                <w:rFonts w:cs="Times New Roman"/>
              </w:rPr>
            </w:pPr>
            <w:r>
              <w:rPr>
                <w:rFonts w:cs="Times New Roman"/>
              </w:rPr>
              <w:t>27</w:t>
            </w:r>
            <w:r>
              <w:rPr>
                <w:rFonts w:cs="Times New Roman"/>
                <w:vertAlign w:val="superscript"/>
              </w:rPr>
              <w:t>th</w:t>
            </w:r>
            <w:r>
              <w:rPr>
                <w:rFonts w:cs="Times New Roman"/>
              </w:rPr>
              <w:t xml:space="preserve"> Feb., 2022</w:t>
            </w:r>
          </w:p>
        </w:tc>
      </w:tr>
      <w:tr w14:paraId="087BD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ABDDC13">
            <w:pPr>
              <w:tabs>
                <w:tab w:val="left" w:pos="220"/>
              </w:tabs>
              <w:rPr>
                <w:rFonts w:cs="Times New Roman"/>
              </w:rPr>
            </w:pPr>
            <w:r>
              <w:rPr>
                <w:rFonts w:cs="Times New Roman"/>
              </w:rPr>
              <w:t>97</w:t>
            </w:r>
          </w:p>
        </w:tc>
        <w:tc>
          <w:tcPr>
            <w:tcW w:w="3131" w:type="dxa"/>
          </w:tcPr>
          <w:p w14:paraId="10B0A68A">
            <w:pPr>
              <w:tabs>
                <w:tab w:val="left" w:pos="220"/>
              </w:tabs>
              <w:rPr>
                <w:rFonts w:cs="Times New Roman"/>
              </w:rPr>
            </w:pPr>
            <w:r>
              <w:rPr>
                <w:rFonts w:cs="Times New Roman"/>
              </w:rPr>
              <w:t>Prof. Michael Osehon Osuide; B.Sc; M.Sc; PhD; MIWA</w:t>
            </w:r>
          </w:p>
        </w:tc>
        <w:tc>
          <w:tcPr>
            <w:tcW w:w="1549" w:type="dxa"/>
          </w:tcPr>
          <w:p w14:paraId="63F1A33E">
            <w:pPr>
              <w:tabs>
                <w:tab w:val="left" w:pos="220"/>
              </w:tabs>
              <w:rPr>
                <w:rFonts w:cs="Times New Roman"/>
              </w:rPr>
            </w:pPr>
            <w:r>
              <w:rPr>
                <w:rFonts w:cs="Times New Roman"/>
              </w:rPr>
              <w:t>Chemistry</w:t>
            </w:r>
          </w:p>
        </w:tc>
        <w:tc>
          <w:tcPr>
            <w:tcW w:w="2914" w:type="dxa"/>
          </w:tcPr>
          <w:p w14:paraId="48107AAF">
            <w:pPr>
              <w:tabs>
                <w:tab w:val="left" w:pos="220"/>
              </w:tabs>
              <w:rPr>
                <w:rFonts w:cs="Times New Roman"/>
              </w:rPr>
            </w:pPr>
            <w:r>
              <w:rPr>
                <w:rFonts w:cs="Times New Roman"/>
              </w:rPr>
              <w:t>Healing the Waters</w:t>
            </w:r>
          </w:p>
        </w:tc>
        <w:tc>
          <w:tcPr>
            <w:tcW w:w="1226" w:type="dxa"/>
          </w:tcPr>
          <w:p w14:paraId="3B3F5A66">
            <w:pPr>
              <w:tabs>
                <w:tab w:val="left" w:pos="220"/>
              </w:tabs>
              <w:rPr>
                <w:rFonts w:cs="Times New Roman"/>
              </w:rPr>
            </w:pPr>
            <w:r>
              <w:rPr>
                <w:rFonts w:cs="Times New Roman"/>
              </w:rPr>
              <w:t>24</w:t>
            </w:r>
            <w:r>
              <w:rPr>
                <w:rFonts w:cs="Times New Roman"/>
                <w:vertAlign w:val="superscript"/>
              </w:rPr>
              <w:t>th</w:t>
            </w:r>
            <w:r>
              <w:rPr>
                <w:rFonts w:cs="Times New Roman"/>
              </w:rPr>
              <w:t xml:space="preserve"> Nov., 2022</w:t>
            </w:r>
          </w:p>
        </w:tc>
      </w:tr>
      <w:tr w14:paraId="5B6EE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1221A12D">
            <w:pPr>
              <w:tabs>
                <w:tab w:val="left" w:pos="220"/>
              </w:tabs>
              <w:rPr>
                <w:rFonts w:cs="Times New Roman"/>
              </w:rPr>
            </w:pPr>
            <w:r>
              <w:rPr>
                <w:rFonts w:cs="Times New Roman"/>
              </w:rPr>
              <w:t>98</w:t>
            </w:r>
          </w:p>
        </w:tc>
        <w:tc>
          <w:tcPr>
            <w:tcW w:w="3131" w:type="dxa"/>
          </w:tcPr>
          <w:p w14:paraId="2F30F8DD">
            <w:pPr>
              <w:tabs>
                <w:tab w:val="left" w:pos="220"/>
              </w:tabs>
              <w:rPr>
                <w:rFonts w:cs="Times New Roman"/>
              </w:rPr>
            </w:pPr>
            <w:r>
              <w:rPr>
                <w:rFonts w:cs="Times New Roman"/>
              </w:rPr>
              <w:t>Prof. Sunday Olowo Samuel; MBBS; MPH; FMCPath; FAMeds</w:t>
            </w:r>
          </w:p>
        </w:tc>
        <w:tc>
          <w:tcPr>
            <w:tcW w:w="1549" w:type="dxa"/>
          </w:tcPr>
          <w:p w14:paraId="04C81500">
            <w:pPr>
              <w:tabs>
                <w:tab w:val="left" w:pos="220"/>
              </w:tabs>
              <w:rPr>
                <w:rFonts w:cs="Times New Roman"/>
              </w:rPr>
            </w:pPr>
            <w:r>
              <w:rPr>
                <w:rFonts w:cs="Times New Roman"/>
              </w:rPr>
              <w:t>Medical Microbiology</w:t>
            </w:r>
          </w:p>
        </w:tc>
        <w:tc>
          <w:tcPr>
            <w:tcW w:w="2914" w:type="dxa"/>
          </w:tcPr>
          <w:p w14:paraId="0ADA44E5">
            <w:pPr>
              <w:tabs>
                <w:tab w:val="left" w:pos="220"/>
              </w:tabs>
              <w:rPr>
                <w:rFonts w:cs="Times New Roman"/>
              </w:rPr>
            </w:pPr>
            <w:r>
              <w:rPr>
                <w:rFonts w:cs="Times New Roman"/>
              </w:rPr>
              <w:t>Infectious Diseases of Man: Unraveling the Unseen Enemy and Mitigating Avoidable Catastrophe</w:t>
            </w:r>
          </w:p>
        </w:tc>
        <w:tc>
          <w:tcPr>
            <w:tcW w:w="1226" w:type="dxa"/>
          </w:tcPr>
          <w:p w14:paraId="7291B8E4">
            <w:pPr>
              <w:tabs>
                <w:tab w:val="left" w:pos="220"/>
              </w:tabs>
              <w:rPr>
                <w:rFonts w:cs="Times New Roman"/>
              </w:rPr>
            </w:pPr>
            <w:r>
              <w:rPr>
                <w:rFonts w:cs="Times New Roman"/>
              </w:rPr>
              <w:t>26</w:t>
            </w:r>
            <w:r>
              <w:rPr>
                <w:rFonts w:cs="Times New Roman"/>
                <w:vertAlign w:val="superscript"/>
              </w:rPr>
              <w:t>th</w:t>
            </w:r>
            <w:r>
              <w:rPr>
                <w:rFonts w:cs="Times New Roman"/>
              </w:rPr>
              <w:t xml:space="preserve"> Jan., 2023</w:t>
            </w:r>
          </w:p>
        </w:tc>
      </w:tr>
      <w:tr w14:paraId="19F6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9" w:hRule="atLeast"/>
        </w:trPr>
        <w:tc>
          <w:tcPr>
            <w:tcW w:w="625" w:type="dxa"/>
          </w:tcPr>
          <w:p w14:paraId="48FD07E2">
            <w:pPr>
              <w:tabs>
                <w:tab w:val="left" w:pos="220"/>
              </w:tabs>
              <w:rPr>
                <w:rFonts w:cs="Times New Roman"/>
              </w:rPr>
            </w:pPr>
            <w:r>
              <w:rPr>
                <w:rFonts w:cs="Times New Roman"/>
              </w:rPr>
              <w:t>99</w:t>
            </w:r>
          </w:p>
        </w:tc>
        <w:tc>
          <w:tcPr>
            <w:tcW w:w="3131" w:type="dxa"/>
          </w:tcPr>
          <w:p w14:paraId="2E243F6C">
            <w:pPr>
              <w:tabs>
                <w:tab w:val="left" w:pos="220"/>
              </w:tabs>
              <w:rPr>
                <w:rFonts w:cs="Times New Roman"/>
              </w:rPr>
            </w:pPr>
            <w:r>
              <w:rPr>
                <w:rFonts w:cs="Times New Roman"/>
              </w:rPr>
              <w:t>Prof. Godfrey B. S. Iyalomhe; MBBS (Nig.); B.A.; M.A.; M.Sc; PhD (Benin); PhD (Silver Spg, USA); MACCP (USA); FRSPH (Land); KSC; JP</w:t>
            </w:r>
          </w:p>
        </w:tc>
        <w:tc>
          <w:tcPr>
            <w:tcW w:w="1549" w:type="dxa"/>
          </w:tcPr>
          <w:p w14:paraId="3FA1CF4D">
            <w:pPr>
              <w:tabs>
                <w:tab w:val="left" w:pos="220"/>
              </w:tabs>
              <w:rPr>
                <w:rFonts w:cs="Times New Roman"/>
              </w:rPr>
            </w:pPr>
            <w:r>
              <w:rPr>
                <w:rFonts w:cs="Times New Roman"/>
              </w:rPr>
              <w:t>Pharmacology and Therapeutics</w:t>
            </w:r>
          </w:p>
        </w:tc>
        <w:tc>
          <w:tcPr>
            <w:tcW w:w="2914" w:type="dxa"/>
          </w:tcPr>
          <w:p w14:paraId="3D9A983C">
            <w:pPr>
              <w:tabs>
                <w:tab w:val="left" w:pos="220"/>
              </w:tabs>
              <w:rPr>
                <w:rFonts w:cs="Times New Roman"/>
              </w:rPr>
            </w:pPr>
            <w:r>
              <w:rPr>
                <w:rFonts w:cs="Times New Roman"/>
              </w:rPr>
              <w:t>Combating the Hypertension Scourge, Promoting Wellness and Longevity: My Odyssey (59pp)</w:t>
            </w:r>
          </w:p>
        </w:tc>
        <w:tc>
          <w:tcPr>
            <w:tcW w:w="1226" w:type="dxa"/>
          </w:tcPr>
          <w:p w14:paraId="6ECF18C6">
            <w:pPr>
              <w:tabs>
                <w:tab w:val="left" w:pos="220"/>
              </w:tabs>
              <w:rPr>
                <w:rFonts w:cs="Times New Roman"/>
              </w:rPr>
            </w:pPr>
            <w:r>
              <w:rPr>
                <w:rFonts w:cs="Times New Roman"/>
              </w:rPr>
              <w:t>30</w:t>
            </w:r>
            <w:r>
              <w:rPr>
                <w:rFonts w:cs="Times New Roman"/>
                <w:vertAlign w:val="superscript"/>
              </w:rPr>
              <w:t>th</w:t>
            </w:r>
            <w:r>
              <w:rPr>
                <w:rFonts w:cs="Times New Roman"/>
              </w:rPr>
              <w:t xml:space="preserve"> Mar., 2023</w:t>
            </w:r>
          </w:p>
        </w:tc>
      </w:tr>
      <w:tr w14:paraId="08B82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1C1EA185">
            <w:pPr>
              <w:tabs>
                <w:tab w:val="left" w:pos="220"/>
              </w:tabs>
              <w:rPr>
                <w:rFonts w:cs="Times New Roman"/>
              </w:rPr>
            </w:pPr>
            <w:r>
              <w:rPr>
                <w:rFonts w:cs="Times New Roman"/>
              </w:rPr>
              <w:t>100</w:t>
            </w:r>
          </w:p>
        </w:tc>
        <w:tc>
          <w:tcPr>
            <w:tcW w:w="3131" w:type="dxa"/>
          </w:tcPr>
          <w:p w14:paraId="5E271A85">
            <w:pPr>
              <w:tabs>
                <w:tab w:val="left" w:pos="220"/>
              </w:tabs>
              <w:rPr>
                <w:rFonts w:cs="Times New Roman"/>
              </w:rPr>
            </w:pPr>
            <w:r>
              <w:rPr>
                <w:rFonts w:cs="Times New Roman"/>
              </w:rPr>
              <w:t xml:space="preserve">Engr. Prof. R. E. Okonigene; B.Eng; M.Eng (bauchi); PhD (Ekpoma); MINSE; R. Engr (COREN) </w:t>
            </w:r>
          </w:p>
        </w:tc>
        <w:tc>
          <w:tcPr>
            <w:tcW w:w="1549" w:type="dxa"/>
          </w:tcPr>
          <w:p w14:paraId="1D314ACB">
            <w:pPr>
              <w:tabs>
                <w:tab w:val="left" w:pos="220"/>
              </w:tabs>
              <w:rPr>
                <w:rFonts w:cs="Times New Roman"/>
              </w:rPr>
            </w:pPr>
            <w:r>
              <w:rPr>
                <w:rFonts w:cs="Times New Roman"/>
              </w:rPr>
              <w:t>Communication Engineering</w:t>
            </w:r>
          </w:p>
        </w:tc>
        <w:tc>
          <w:tcPr>
            <w:tcW w:w="2914" w:type="dxa"/>
          </w:tcPr>
          <w:p w14:paraId="070F057F">
            <w:pPr>
              <w:tabs>
                <w:tab w:val="left" w:pos="220"/>
              </w:tabs>
              <w:rPr>
                <w:rFonts w:cs="Times New Roman"/>
              </w:rPr>
            </w:pPr>
            <w:r>
              <w:rPr>
                <w:rFonts w:cs="Times New Roman"/>
              </w:rPr>
              <w:t>Communication Engineering: An Isrealite Journey to the Land of Canaan (58pp)</w:t>
            </w:r>
          </w:p>
        </w:tc>
        <w:tc>
          <w:tcPr>
            <w:tcW w:w="1226" w:type="dxa"/>
          </w:tcPr>
          <w:p w14:paraId="66529201">
            <w:pPr>
              <w:tabs>
                <w:tab w:val="left" w:pos="220"/>
              </w:tabs>
              <w:rPr>
                <w:rFonts w:cs="Times New Roman"/>
              </w:rPr>
            </w:pPr>
            <w:r>
              <w:rPr>
                <w:rFonts w:cs="Times New Roman"/>
              </w:rPr>
              <w:t>27</w:t>
            </w:r>
            <w:r>
              <w:rPr>
                <w:rFonts w:cs="Times New Roman"/>
                <w:vertAlign w:val="superscript"/>
              </w:rPr>
              <w:t>th</w:t>
            </w:r>
            <w:r>
              <w:rPr>
                <w:rFonts w:cs="Times New Roman"/>
              </w:rPr>
              <w:t xml:space="preserve"> Apr., 2023</w:t>
            </w:r>
          </w:p>
        </w:tc>
      </w:tr>
      <w:tr w14:paraId="4B75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1C65A546">
            <w:pPr>
              <w:tabs>
                <w:tab w:val="left" w:pos="220"/>
              </w:tabs>
              <w:rPr>
                <w:rFonts w:cs="Times New Roman"/>
              </w:rPr>
            </w:pPr>
            <w:r>
              <w:rPr>
                <w:rFonts w:cs="Times New Roman"/>
              </w:rPr>
              <w:t>101</w:t>
            </w:r>
          </w:p>
        </w:tc>
        <w:tc>
          <w:tcPr>
            <w:tcW w:w="3131" w:type="dxa"/>
          </w:tcPr>
          <w:p w14:paraId="02823145">
            <w:pPr>
              <w:tabs>
                <w:tab w:val="left" w:pos="220"/>
              </w:tabs>
              <w:rPr>
                <w:rFonts w:cs="Times New Roman"/>
              </w:rPr>
            </w:pPr>
            <w:r>
              <w:rPr>
                <w:rFonts w:cs="Times New Roman"/>
              </w:rPr>
              <w:t>Engr. Prof. Otunuya Obodeh; B.Sc (Unilag); M.Sc (Ibadan); PhD (Ekpoma); MNSE; R.Engr. (COREN)</w:t>
            </w:r>
          </w:p>
        </w:tc>
        <w:tc>
          <w:tcPr>
            <w:tcW w:w="1549" w:type="dxa"/>
          </w:tcPr>
          <w:p w14:paraId="57A8D871">
            <w:pPr>
              <w:tabs>
                <w:tab w:val="left" w:pos="220"/>
              </w:tabs>
              <w:rPr>
                <w:rFonts w:cs="Times New Roman"/>
              </w:rPr>
            </w:pPr>
            <w:r>
              <w:rPr>
                <w:rFonts w:cs="Times New Roman"/>
              </w:rPr>
              <w:t>Mechanical Engineering</w:t>
            </w:r>
          </w:p>
        </w:tc>
        <w:tc>
          <w:tcPr>
            <w:tcW w:w="2914" w:type="dxa"/>
          </w:tcPr>
          <w:p w14:paraId="03843F9F">
            <w:pPr>
              <w:tabs>
                <w:tab w:val="left" w:pos="220"/>
              </w:tabs>
              <w:rPr>
                <w:rFonts w:cs="Times New Roman"/>
              </w:rPr>
            </w:pPr>
            <w:r>
              <w:rPr>
                <w:rFonts w:cs="Times New Roman"/>
              </w:rPr>
              <w:t>Quest for Improved Thermal Engines Performance and Other Challenges</w:t>
            </w:r>
          </w:p>
        </w:tc>
        <w:tc>
          <w:tcPr>
            <w:tcW w:w="1226" w:type="dxa"/>
          </w:tcPr>
          <w:p w14:paraId="038975B5">
            <w:pPr>
              <w:tabs>
                <w:tab w:val="left" w:pos="220"/>
              </w:tabs>
              <w:rPr>
                <w:rFonts w:cs="Times New Roman"/>
              </w:rPr>
            </w:pPr>
            <w:r>
              <w:rPr>
                <w:rFonts w:cs="Times New Roman"/>
              </w:rPr>
              <w:t>25</w:t>
            </w:r>
            <w:r>
              <w:rPr>
                <w:rFonts w:cs="Times New Roman"/>
                <w:vertAlign w:val="superscript"/>
              </w:rPr>
              <w:t>th</w:t>
            </w:r>
            <w:r>
              <w:rPr>
                <w:rFonts w:cs="Times New Roman"/>
              </w:rPr>
              <w:t xml:space="preserve"> May, 2023</w:t>
            </w:r>
          </w:p>
        </w:tc>
      </w:tr>
      <w:tr w14:paraId="4F296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625" w:type="dxa"/>
          </w:tcPr>
          <w:p w14:paraId="6CC0490A">
            <w:pPr>
              <w:tabs>
                <w:tab w:val="left" w:pos="220"/>
              </w:tabs>
              <w:rPr>
                <w:rFonts w:cs="Times New Roman"/>
              </w:rPr>
            </w:pPr>
            <w:r>
              <w:rPr>
                <w:rFonts w:cs="Times New Roman"/>
              </w:rPr>
              <w:t>102</w:t>
            </w:r>
          </w:p>
        </w:tc>
        <w:tc>
          <w:tcPr>
            <w:tcW w:w="3131" w:type="dxa"/>
          </w:tcPr>
          <w:p w14:paraId="27BEE5D1">
            <w:pPr>
              <w:tabs>
                <w:tab w:val="left" w:pos="220"/>
              </w:tabs>
              <w:rPr>
                <w:rFonts w:cs="Times New Roman"/>
              </w:rPr>
            </w:pPr>
            <w:r>
              <w:rPr>
                <w:rFonts w:cs="Times New Roman"/>
              </w:rPr>
              <w:t>Prof. Stanley O. Omokhoje; B.Sc; M.Sc; PhD (Ekpoma); MINSAP; MASAN; MASN; MWPSA</w:t>
            </w:r>
          </w:p>
        </w:tc>
        <w:tc>
          <w:tcPr>
            <w:tcW w:w="1549" w:type="dxa"/>
          </w:tcPr>
          <w:p w14:paraId="61834D07">
            <w:pPr>
              <w:tabs>
                <w:tab w:val="left" w:pos="220"/>
              </w:tabs>
              <w:rPr>
                <w:rFonts w:cs="Times New Roman"/>
              </w:rPr>
            </w:pPr>
            <w:r>
              <w:rPr>
                <w:rFonts w:cs="Times New Roman"/>
              </w:rPr>
              <w:t>Animal Science</w:t>
            </w:r>
          </w:p>
        </w:tc>
        <w:tc>
          <w:tcPr>
            <w:tcW w:w="2914" w:type="dxa"/>
          </w:tcPr>
          <w:p w14:paraId="052EF80A">
            <w:pPr>
              <w:tabs>
                <w:tab w:val="left" w:pos="220"/>
              </w:tabs>
              <w:rPr>
                <w:rFonts w:cs="Times New Roman"/>
              </w:rPr>
            </w:pPr>
            <w:r>
              <w:rPr>
                <w:rFonts w:cs="Times New Roman"/>
              </w:rPr>
              <w:t>Future of Food Security in Nigeria: Harnessing the Potential of Unconventional Feed Resources to Improve Animal Agriculture</w:t>
            </w:r>
          </w:p>
        </w:tc>
        <w:tc>
          <w:tcPr>
            <w:tcW w:w="1226" w:type="dxa"/>
          </w:tcPr>
          <w:p w14:paraId="75EE39B9">
            <w:pPr>
              <w:tabs>
                <w:tab w:val="left" w:pos="220"/>
              </w:tabs>
              <w:rPr>
                <w:rFonts w:cs="Times New Roman"/>
              </w:rPr>
            </w:pPr>
            <w:r>
              <w:rPr>
                <w:rFonts w:cs="Times New Roman"/>
              </w:rPr>
              <w:t>6</w:t>
            </w:r>
            <w:r>
              <w:rPr>
                <w:rFonts w:cs="Times New Roman"/>
                <w:vertAlign w:val="superscript"/>
              </w:rPr>
              <w:t>th</w:t>
            </w:r>
            <w:r>
              <w:rPr>
                <w:rFonts w:cs="Times New Roman"/>
              </w:rPr>
              <w:t xml:space="preserve"> Jul., 2023</w:t>
            </w:r>
          </w:p>
        </w:tc>
      </w:tr>
      <w:tr w14:paraId="437A4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625" w:type="dxa"/>
          </w:tcPr>
          <w:p w14:paraId="01753B61">
            <w:pPr>
              <w:tabs>
                <w:tab w:val="left" w:pos="220"/>
              </w:tabs>
              <w:rPr>
                <w:rFonts w:cs="Times New Roman"/>
              </w:rPr>
            </w:pPr>
            <w:r>
              <w:rPr>
                <w:rFonts w:cs="Times New Roman"/>
              </w:rPr>
              <w:t>103</w:t>
            </w:r>
          </w:p>
        </w:tc>
        <w:tc>
          <w:tcPr>
            <w:tcW w:w="3131" w:type="dxa"/>
          </w:tcPr>
          <w:p w14:paraId="0973A3DA">
            <w:pPr>
              <w:tabs>
                <w:tab w:val="left" w:pos="220"/>
              </w:tabs>
              <w:rPr>
                <w:rFonts w:cs="Times New Roman"/>
              </w:rPr>
            </w:pPr>
            <w:r>
              <w:rPr>
                <w:rFonts w:cs="Times New Roman"/>
              </w:rPr>
              <w:t>Prof. Eddy A. Onomolease; B.Sc (Ibadan); M.Sc; PhD (Benin)</w:t>
            </w:r>
          </w:p>
        </w:tc>
        <w:tc>
          <w:tcPr>
            <w:tcW w:w="1549" w:type="dxa"/>
          </w:tcPr>
          <w:p w14:paraId="34618ABC">
            <w:pPr>
              <w:tabs>
                <w:tab w:val="left" w:pos="220"/>
              </w:tabs>
              <w:rPr>
                <w:rFonts w:cs="Times New Roman"/>
              </w:rPr>
            </w:pPr>
            <w:r>
              <w:rPr>
                <w:rFonts w:cs="Times New Roman"/>
              </w:rPr>
              <w:t>Agricultural Extension</w:t>
            </w:r>
          </w:p>
        </w:tc>
        <w:tc>
          <w:tcPr>
            <w:tcW w:w="2914" w:type="dxa"/>
          </w:tcPr>
          <w:p w14:paraId="1D14178B">
            <w:pPr>
              <w:tabs>
                <w:tab w:val="left" w:pos="220"/>
              </w:tabs>
              <w:rPr>
                <w:rFonts w:cs="Times New Roman"/>
              </w:rPr>
            </w:pPr>
            <w:r>
              <w:rPr>
                <w:rFonts w:cs="Times New Roman"/>
              </w:rPr>
              <w:t>Agricultural Extension: An Extensionist Journey through Forbidden Territory</w:t>
            </w:r>
          </w:p>
        </w:tc>
        <w:tc>
          <w:tcPr>
            <w:tcW w:w="1226" w:type="dxa"/>
          </w:tcPr>
          <w:p w14:paraId="26D7E509">
            <w:pPr>
              <w:tabs>
                <w:tab w:val="left" w:pos="220"/>
              </w:tabs>
              <w:rPr>
                <w:rFonts w:cs="Times New Roman"/>
              </w:rPr>
            </w:pPr>
            <w:r>
              <w:rPr>
                <w:rFonts w:cs="Times New Roman"/>
              </w:rPr>
              <w:t>26</w:t>
            </w:r>
            <w:r>
              <w:rPr>
                <w:rFonts w:cs="Times New Roman"/>
                <w:vertAlign w:val="superscript"/>
              </w:rPr>
              <w:t>th</w:t>
            </w:r>
            <w:r>
              <w:rPr>
                <w:rFonts w:cs="Times New Roman"/>
              </w:rPr>
              <w:t xml:space="preserve"> Oct., 2023</w:t>
            </w:r>
          </w:p>
        </w:tc>
      </w:tr>
      <w:tr w14:paraId="59B02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53EF75F">
            <w:pPr>
              <w:tabs>
                <w:tab w:val="left" w:pos="220"/>
              </w:tabs>
              <w:rPr>
                <w:rFonts w:cs="Times New Roman"/>
              </w:rPr>
            </w:pPr>
            <w:r>
              <w:rPr>
                <w:rFonts w:cs="Times New Roman"/>
              </w:rPr>
              <w:t>104</w:t>
            </w:r>
          </w:p>
        </w:tc>
        <w:tc>
          <w:tcPr>
            <w:tcW w:w="3131" w:type="dxa"/>
          </w:tcPr>
          <w:p w14:paraId="1BA4D014">
            <w:pPr>
              <w:tabs>
                <w:tab w:val="left" w:pos="220"/>
              </w:tabs>
              <w:rPr>
                <w:rFonts w:cs="Times New Roman"/>
              </w:rPr>
            </w:pPr>
            <w:r>
              <w:rPr>
                <w:rFonts w:cs="Times New Roman"/>
              </w:rPr>
              <w:t>Prof. Regina Eseopsa Ohenhen; B.Sc (Ekpoma); M.Sc (Ibadan); PhD (Benin)</w:t>
            </w:r>
          </w:p>
        </w:tc>
        <w:tc>
          <w:tcPr>
            <w:tcW w:w="1549" w:type="dxa"/>
          </w:tcPr>
          <w:p w14:paraId="1CCF5D91">
            <w:pPr>
              <w:tabs>
                <w:tab w:val="left" w:pos="220"/>
              </w:tabs>
              <w:rPr>
                <w:rFonts w:cs="Times New Roman"/>
              </w:rPr>
            </w:pPr>
            <w:r>
              <w:rPr>
                <w:rFonts w:cs="Times New Roman"/>
              </w:rPr>
              <w:t>Industrial Microbiology</w:t>
            </w:r>
          </w:p>
        </w:tc>
        <w:tc>
          <w:tcPr>
            <w:tcW w:w="2914" w:type="dxa"/>
          </w:tcPr>
          <w:p w14:paraId="5A455665">
            <w:pPr>
              <w:tabs>
                <w:tab w:val="left" w:pos="220"/>
              </w:tabs>
              <w:rPr>
                <w:rFonts w:cs="Times New Roman"/>
              </w:rPr>
            </w:pPr>
            <w:r>
              <w:rPr>
                <w:rFonts w:cs="Times New Roman"/>
              </w:rPr>
              <w:t>Microbes Your Inevitable Partners: An Amazing Symbiosis</w:t>
            </w:r>
          </w:p>
        </w:tc>
        <w:tc>
          <w:tcPr>
            <w:tcW w:w="1226" w:type="dxa"/>
          </w:tcPr>
          <w:p w14:paraId="31104EEA">
            <w:pPr>
              <w:tabs>
                <w:tab w:val="left" w:pos="220"/>
              </w:tabs>
              <w:rPr>
                <w:rFonts w:cs="Times New Roman"/>
              </w:rPr>
            </w:pPr>
            <w:r>
              <w:rPr>
                <w:rFonts w:cs="Times New Roman"/>
              </w:rPr>
              <w:t>30</w:t>
            </w:r>
            <w:r>
              <w:rPr>
                <w:rFonts w:cs="Times New Roman"/>
                <w:vertAlign w:val="superscript"/>
              </w:rPr>
              <w:t>th</w:t>
            </w:r>
            <w:r>
              <w:rPr>
                <w:rFonts w:cs="Times New Roman"/>
              </w:rPr>
              <w:t xml:space="preserve"> Nov., 2023</w:t>
            </w:r>
          </w:p>
        </w:tc>
      </w:tr>
      <w:tr w14:paraId="2EFCA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55116BEA">
            <w:pPr>
              <w:tabs>
                <w:tab w:val="left" w:pos="220"/>
              </w:tabs>
              <w:rPr>
                <w:rFonts w:cs="Times New Roman"/>
              </w:rPr>
            </w:pPr>
            <w:r>
              <w:rPr>
                <w:rFonts w:cs="Times New Roman"/>
              </w:rPr>
              <w:t>105</w:t>
            </w:r>
          </w:p>
        </w:tc>
        <w:tc>
          <w:tcPr>
            <w:tcW w:w="3131" w:type="dxa"/>
          </w:tcPr>
          <w:p w14:paraId="1865D769">
            <w:pPr>
              <w:tabs>
                <w:tab w:val="left" w:pos="220"/>
              </w:tabs>
              <w:rPr>
                <w:rFonts w:cs="Times New Roman"/>
              </w:rPr>
            </w:pPr>
            <w:r>
              <w:rPr>
                <w:rFonts w:cs="Times New Roman"/>
              </w:rPr>
              <w:t>Prof. Omare Celia Otote; B.A; PGDE; M.Ed; PhD (Benin)</w:t>
            </w:r>
          </w:p>
        </w:tc>
        <w:tc>
          <w:tcPr>
            <w:tcW w:w="1549" w:type="dxa"/>
          </w:tcPr>
          <w:p w14:paraId="1605A419">
            <w:pPr>
              <w:tabs>
                <w:tab w:val="left" w:pos="220"/>
              </w:tabs>
              <w:rPr>
                <w:rFonts w:cs="Times New Roman"/>
              </w:rPr>
            </w:pPr>
            <w:r>
              <w:rPr>
                <w:rFonts w:cs="Times New Roman"/>
              </w:rPr>
              <w:t>Social Studies Education</w:t>
            </w:r>
          </w:p>
        </w:tc>
        <w:tc>
          <w:tcPr>
            <w:tcW w:w="2914" w:type="dxa"/>
          </w:tcPr>
          <w:p w14:paraId="71751B76">
            <w:pPr>
              <w:tabs>
                <w:tab w:val="left" w:pos="220"/>
              </w:tabs>
              <w:rPr>
                <w:rFonts w:cs="Times New Roman"/>
              </w:rPr>
            </w:pPr>
            <w:r>
              <w:rPr>
                <w:rFonts w:cs="Times New Roman"/>
              </w:rPr>
              <w:t>Repositioning Affective Learning for Core Mandate of Social Studies Education: Back to Basics</w:t>
            </w:r>
          </w:p>
        </w:tc>
        <w:tc>
          <w:tcPr>
            <w:tcW w:w="1226" w:type="dxa"/>
          </w:tcPr>
          <w:p w14:paraId="34AB698A">
            <w:pPr>
              <w:tabs>
                <w:tab w:val="left" w:pos="220"/>
              </w:tabs>
              <w:rPr>
                <w:rFonts w:cs="Times New Roman"/>
              </w:rPr>
            </w:pPr>
            <w:r>
              <w:rPr>
                <w:rFonts w:cs="Times New Roman"/>
              </w:rPr>
              <w:t>25</w:t>
            </w:r>
            <w:r>
              <w:rPr>
                <w:rFonts w:cs="Times New Roman"/>
                <w:vertAlign w:val="superscript"/>
              </w:rPr>
              <w:t>th</w:t>
            </w:r>
            <w:r>
              <w:rPr>
                <w:rFonts w:cs="Times New Roman"/>
              </w:rPr>
              <w:t xml:space="preserve"> Jan., 2024</w:t>
            </w:r>
          </w:p>
        </w:tc>
      </w:tr>
      <w:tr w14:paraId="03C3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2EA15CD6">
            <w:pPr>
              <w:tabs>
                <w:tab w:val="left" w:pos="220"/>
              </w:tabs>
              <w:rPr>
                <w:rFonts w:cs="Times New Roman"/>
              </w:rPr>
            </w:pPr>
            <w:r>
              <w:rPr>
                <w:rFonts w:cs="Times New Roman"/>
              </w:rPr>
              <w:t>106</w:t>
            </w:r>
          </w:p>
        </w:tc>
        <w:tc>
          <w:tcPr>
            <w:tcW w:w="3131" w:type="dxa"/>
          </w:tcPr>
          <w:p w14:paraId="7F735448">
            <w:pPr>
              <w:tabs>
                <w:tab w:val="left" w:pos="220"/>
              </w:tabs>
              <w:rPr>
                <w:rFonts w:cs="Times New Roman"/>
              </w:rPr>
            </w:pPr>
            <w:r>
              <w:rPr>
                <w:rFonts w:cs="Times New Roman"/>
              </w:rPr>
              <w:t xml:space="preserve">Prof. Ethel Ekeloseya Idialu; NCE (Agbor); B.Sc (Ed). (Ekpoma); M.Ed (Abraka); M.Ed (Nsukka); PhD (Ekpoma); LSM </w:t>
            </w:r>
          </w:p>
        </w:tc>
        <w:tc>
          <w:tcPr>
            <w:tcW w:w="1549" w:type="dxa"/>
          </w:tcPr>
          <w:p w14:paraId="0675467F">
            <w:pPr>
              <w:tabs>
                <w:tab w:val="left" w:pos="220"/>
              </w:tabs>
              <w:rPr>
                <w:rFonts w:cs="Times New Roman"/>
              </w:rPr>
            </w:pPr>
            <w:r>
              <w:rPr>
                <w:rFonts w:cs="Times New Roman"/>
              </w:rPr>
              <w:t>Home Economics Education</w:t>
            </w:r>
          </w:p>
        </w:tc>
        <w:tc>
          <w:tcPr>
            <w:tcW w:w="2914" w:type="dxa"/>
          </w:tcPr>
          <w:p w14:paraId="5C1E1ED2">
            <w:pPr>
              <w:tabs>
                <w:tab w:val="left" w:pos="220"/>
              </w:tabs>
              <w:rPr>
                <w:rFonts w:cs="Times New Roman"/>
              </w:rPr>
            </w:pPr>
            <w:r>
              <w:rPr>
                <w:rFonts w:cs="Times New Roman"/>
              </w:rPr>
              <w:t>Ideal Family Living: A Panacea for Societal Ills</w:t>
            </w:r>
          </w:p>
        </w:tc>
        <w:tc>
          <w:tcPr>
            <w:tcW w:w="1226" w:type="dxa"/>
          </w:tcPr>
          <w:p w14:paraId="0A915055">
            <w:pPr>
              <w:tabs>
                <w:tab w:val="left" w:pos="220"/>
              </w:tabs>
              <w:rPr>
                <w:rFonts w:cs="Times New Roman"/>
              </w:rPr>
            </w:pPr>
            <w:r>
              <w:rPr>
                <w:rFonts w:cs="Times New Roman"/>
              </w:rPr>
              <w:t>15</w:t>
            </w:r>
            <w:r>
              <w:rPr>
                <w:rFonts w:cs="Times New Roman"/>
                <w:vertAlign w:val="superscript"/>
              </w:rPr>
              <w:t>th</w:t>
            </w:r>
            <w:r>
              <w:rPr>
                <w:rFonts w:cs="Times New Roman"/>
              </w:rPr>
              <w:t xml:space="preserve"> Feb., 2024</w:t>
            </w:r>
          </w:p>
        </w:tc>
      </w:tr>
      <w:tr w14:paraId="6CCED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00C09679">
            <w:pPr>
              <w:tabs>
                <w:tab w:val="left" w:pos="220"/>
              </w:tabs>
              <w:rPr>
                <w:rFonts w:cs="Times New Roman"/>
              </w:rPr>
            </w:pPr>
            <w:r>
              <w:rPr>
                <w:rFonts w:cs="Times New Roman"/>
              </w:rPr>
              <w:t>107</w:t>
            </w:r>
          </w:p>
        </w:tc>
        <w:tc>
          <w:tcPr>
            <w:tcW w:w="3131" w:type="dxa"/>
          </w:tcPr>
          <w:p w14:paraId="77594DBC">
            <w:pPr>
              <w:tabs>
                <w:tab w:val="left" w:pos="220"/>
              </w:tabs>
              <w:rPr>
                <w:rFonts w:cs="Times New Roman"/>
              </w:rPr>
            </w:pPr>
            <w:r>
              <w:rPr>
                <w:rFonts w:cs="Times New Roman"/>
              </w:rPr>
              <w:t>Prof. Magnus Oisasoje Ojeifo; B.Sc (Hons). (Ekpoma); MURP (Benin); PhD (Ekpoma); PGDE (NOUN)</w:t>
            </w:r>
          </w:p>
        </w:tc>
        <w:tc>
          <w:tcPr>
            <w:tcW w:w="1549" w:type="dxa"/>
          </w:tcPr>
          <w:p w14:paraId="380824D4">
            <w:pPr>
              <w:tabs>
                <w:tab w:val="left" w:pos="220"/>
              </w:tabs>
              <w:rPr>
                <w:rFonts w:cs="Times New Roman"/>
              </w:rPr>
            </w:pPr>
            <w:r>
              <w:rPr>
                <w:rFonts w:cs="Times New Roman"/>
              </w:rPr>
              <w:t>Urban Geography</w:t>
            </w:r>
          </w:p>
        </w:tc>
        <w:tc>
          <w:tcPr>
            <w:tcW w:w="2914" w:type="dxa"/>
          </w:tcPr>
          <w:p w14:paraId="2B799DE0">
            <w:pPr>
              <w:tabs>
                <w:tab w:val="left" w:pos="220"/>
              </w:tabs>
              <w:rPr>
                <w:rFonts w:cs="Times New Roman"/>
              </w:rPr>
            </w:pPr>
            <w:r>
              <w:rPr>
                <w:rFonts w:cs="Times New Roman"/>
              </w:rPr>
              <w:t>Re-Inventing Urban Land Use Sustainability: Implications for Planning Small-Sized Towns in Nigeria (71pp)</w:t>
            </w:r>
          </w:p>
        </w:tc>
        <w:tc>
          <w:tcPr>
            <w:tcW w:w="1226" w:type="dxa"/>
          </w:tcPr>
          <w:p w14:paraId="73AA7170">
            <w:pPr>
              <w:tabs>
                <w:tab w:val="left" w:pos="220"/>
              </w:tabs>
              <w:rPr>
                <w:rFonts w:cs="Times New Roman"/>
              </w:rPr>
            </w:pPr>
            <w:r>
              <w:rPr>
                <w:rFonts w:cs="Times New Roman"/>
              </w:rPr>
              <w:t>29</w:t>
            </w:r>
            <w:r>
              <w:rPr>
                <w:rFonts w:cs="Times New Roman"/>
                <w:vertAlign w:val="superscript"/>
              </w:rPr>
              <w:t>th</w:t>
            </w:r>
            <w:r>
              <w:rPr>
                <w:rFonts w:cs="Times New Roman"/>
              </w:rPr>
              <w:t xml:space="preserve"> Feb., 2024</w:t>
            </w:r>
          </w:p>
        </w:tc>
      </w:tr>
      <w:tr w14:paraId="510B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5652192D">
            <w:pPr>
              <w:tabs>
                <w:tab w:val="left" w:pos="220"/>
              </w:tabs>
              <w:rPr>
                <w:rFonts w:cs="Times New Roman"/>
              </w:rPr>
            </w:pPr>
            <w:r>
              <w:rPr>
                <w:rFonts w:cs="Times New Roman"/>
              </w:rPr>
              <w:t>108</w:t>
            </w:r>
          </w:p>
        </w:tc>
        <w:tc>
          <w:tcPr>
            <w:tcW w:w="3131" w:type="dxa"/>
          </w:tcPr>
          <w:p w14:paraId="269CC11F">
            <w:pPr>
              <w:tabs>
                <w:tab w:val="left" w:pos="220"/>
              </w:tabs>
              <w:rPr>
                <w:rFonts w:cs="Times New Roman"/>
              </w:rPr>
            </w:pPr>
            <w:r>
              <w:rPr>
                <w:rFonts w:cs="Times New Roman"/>
              </w:rPr>
              <w:t xml:space="preserve">Engr. Prof. Osadolor Orlando Odia; HND (Auchi); GRAD NSE (Lagos); M.Eng (Ekpoma); PhD (Ekpoma); MNSE; MINEM; CASME; R.Engr (COREN) </w:t>
            </w:r>
          </w:p>
        </w:tc>
        <w:tc>
          <w:tcPr>
            <w:tcW w:w="1549" w:type="dxa"/>
          </w:tcPr>
          <w:p w14:paraId="66A979B5">
            <w:pPr>
              <w:tabs>
                <w:tab w:val="left" w:pos="220"/>
              </w:tabs>
              <w:rPr>
                <w:rFonts w:cs="Times New Roman"/>
              </w:rPr>
            </w:pPr>
            <w:r>
              <w:rPr>
                <w:rFonts w:cs="Times New Roman"/>
              </w:rPr>
              <w:t>Energy and Power Engineering</w:t>
            </w:r>
          </w:p>
        </w:tc>
        <w:tc>
          <w:tcPr>
            <w:tcW w:w="2914" w:type="dxa"/>
          </w:tcPr>
          <w:p w14:paraId="0EAEFE7B">
            <w:pPr>
              <w:tabs>
                <w:tab w:val="left" w:pos="220"/>
              </w:tabs>
              <w:rPr>
                <w:rFonts w:cs="Times New Roman"/>
              </w:rPr>
            </w:pPr>
            <w:r>
              <w:rPr>
                <w:rFonts w:cs="Times New Roman"/>
              </w:rPr>
              <w:t>Exploration and Exploitation of Energy Resources: Implication for Man and the Earth (75pp)</w:t>
            </w:r>
          </w:p>
        </w:tc>
        <w:tc>
          <w:tcPr>
            <w:tcW w:w="1226" w:type="dxa"/>
          </w:tcPr>
          <w:p w14:paraId="6A657379">
            <w:pPr>
              <w:tabs>
                <w:tab w:val="left" w:pos="220"/>
              </w:tabs>
              <w:rPr>
                <w:rFonts w:cs="Times New Roman"/>
              </w:rPr>
            </w:pPr>
            <w:r>
              <w:rPr>
                <w:rFonts w:cs="Times New Roman"/>
              </w:rPr>
              <w:t>14</w:t>
            </w:r>
            <w:r>
              <w:rPr>
                <w:rFonts w:cs="Times New Roman"/>
                <w:vertAlign w:val="superscript"/>
              </w:rPr>
              <w:t>th</w:t>
            </w:r>
            <w:r>
              <w:rPr>
                <w:rFonts w:cs="Times New Roman"/>
              </w:rPr>
              <w:t xml:space="preserve"> Mar., 2024</w:t>
            </w:r>
          </w:p>
        </w:tc>
      </w:tr>
      <w:tr w14:paraId="4B255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C790F8E">
            <w:pPr>
              <w:tabs>
                <w:tab w:val="left" w:pos="220"/>
              </w:tabs>
              <w:rPr>
                <w:rFonts w:cs="Times New Roman"/>
              </w:rPr>
            </w:pPr>
            <w:r>
              <w:rPr>
                <w:rFonts w:cs="Times New Roman"/>
              </w:rPr>
              <w:t>109</w:t>
            </w:r>
          </w:p>
        </w:tc>
        <w:tc>
          <w:tcPr>
            <w:tcW w:w="3131" w:type="dxa"/>
          </w:tcPr>
          <w:p w14:paraId="5B569B04">
            <w:pPr>
              <w:tabs>
                <w:tab w:val="left" w:pos="220"/>
              </w:tabs>
              <w:rPr>
                <w:rFonts w:cs="Times New Roman"/>
              </w:rPr>
            </w:pPr>
            <w:r>
              <w:rPr>
                <w:rFonts w:cs="Times New Roman"/>
              </w:rPr>
              <w:t>Orof. Goddey Ujagbe Agbeboh; ACE (Afuze); NCE (Igueben); B.Sc Ed. (Unilag); M.Sc (EDSU); PhD (Ekpoma)</w:t>
            </w:r>
          </w:p>
        </w:tc>
        <w:tc>
          <w:tcPr>
            <w:tcW w:w="1549" w:type="dxa"/>
          </w:tcPr>
          <w:p w14:paraId="2485DFE4">
            <w:pPr>
              <w:tabs>
                <w:tab w:val="left" w:pos="220"/>
              </w:tabs>
              <w:rPr>
                <w:rFonts w:cs="Times New Roman"/>
              </w:rPr>
            </w:pPr>
            <w:r>
              <w:rPr>
                <w:rFonts w:cs="Times New Roman"/>
              </w:rPr>
              <w:t>Numerical Analysis and Scientific Computing</w:t>
            </w:r>
          </w:p>
        </w:tc>
        <w:tc>
          <w:tcPr>
            <w:tcW w:w="2914" w:type="dxa"/>
          </w:tcPr>
          <w:p w14:paraId="3EEAF5D6">
            <w:pPr>
              <w:tabs>
                <w:tab w:val="left" w:pos="220"/>
              </w:tabs>
              <w:rPr>
                <w:rFonts w:cs="Times New Roman"/>
              </w:rPr>
            </w:pPr>
            <w:r>
              <w:rPr>
                <w:rFonts w:cs="Times New Roman"/>
              </w:rPr>
              <w:t>Demystifying Mathematics</w:t>
            </w:r>
          </w:p>
        </w:tc>
        <w:tc>
          <w:tcPr>
            <w:tcW w:w="1226" w:type="dxa"/>
          </w:tcPr>
          <w:p w14:paraId="56E5DB92">
            <w:pPr>
              <w:tabs>
                <w:tab w:val="left" w:pos="220"/>
              </w:tabs>
              <w:rPr>
                <w:rFonts w:cs="Times New Roman"/>
              </w:rPr>
            </w:pPr>
            <w:r>
              <w:rPr>
                <w:rFonts w:cs="Times New Roman"/>
              </w:rPr>
              <w:t>18</w:t>
            </w:r>
            <w:r>
              <w:rPr>
                <w:rFonts w:cs="Times New Roman"/>
                <w:vertAlign w:val="superscript"/>
              </w:rPr>
              <w:t>th</w:t>
            </w:r>
            <w:r>
              <w:rPr>
                <w:rFonts w:cs="Times New Roman"/>
              </w:rPr>
              <w:t xml:space="preserve"> Apr., 2024</w:t>
            </w:r>
          </w:p>
        </w:tc>
      </w:tr>
      <w:tr w14:paraId="0AB48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3C069AE">
            <w:pPr>
              <w:tabs>
                <w:tab w:val="left" w:pos="220"/>
              </w:tabs>
              <w:rPr>
                <w:rFonts w:cs="Times New Roman"/>
              </w:rPr>
            </w:pPr>
            <w:r>
              <w:rPr>
                <w:rFonts w:cs="Times New Roman"/>
              </w:rPr>
              <w:t>110</w:t>
            </w:r>
          </w:p>
        </w:tc>
        <w:tc>
          <w:tcPr>
            <w:tcW w:w="3131" w:type="dxa"/>
          </w:tcPr>
          <w:p w14:paraId="37A3247C">
            <w:pPr>
              <w:tabs>
                <w:tab w:val="left" w:pos="220"/>
              </w:tabs>
              <w:rPr>
                <w:rFonts w:cs="Times New Roman"/>
              </w:rPr>
            </w:pPr>
            <w:r>
              <w:rPr>
                <w:rFonts w:cs="Times New Roman"/>
              </w:rPr>
              <w:t>Prof. Charles Uche Onianwa; B.Sc; M.Sc; MBA (Uniben); PhD (Ekpoma); FAAN; MMAN</w:t>
            </w:r>
          </w:p>
        </w:tc>
        <w:tc>
          <w:tcPr>
            <w:tcW w:w="1549" w:type="dxa"/>
          </w:tcPr>
          <w:p w14:paraId="08BB6EA9">
            <w:pPr>
              <w:tabs>
                <w:tab w:val="left" w:pos="220"/>
              </w:tabs>
              <w:rPr>
                <w:rFonts w:cs="Times New Roman"/>
              </w:rPr>
            </w:pPr>
            <w:r>
              <w:rPr>
                <w:rFonts w:cs="Times New Roman"/>
              </w:rPr>
              <w:t>Scientific Computing</w:t>
            </w:r>
          </w:p>
        </w:tc>
        <w:tc>
          <w:tcPr>
            <w:tcW w:w="2914" w:type="dxa"/>
          </w:tcPr>
          <w:p w14:paraId="1990F30F">
            <w:pPr>
              <w:tabs>
                <w:tab w:val="left" w:pos="220"/>
              </w:tabs>
              <w:rPr>
                <w:rFonts w:cs="Times New Roman"/>
              </w:rPr>
            </w:pPr>
            <w:r>
              <w:rPr>
                <w:rFonts w:cs="Times New Roman"/>
              </w:rPr>
              <w:t>Mathematics Delineating the Division in the Quest for Accurate Result/Information</w:t>
            </w:r>
          </w:p>
        </w:tc>
        <w:tc>
          <w:tcPr>
            <w:tcW w:w="1226" w:type="dxa"/>
          </w:tcPr>
          <w:p w14:paraId="68C939A0">
            <w:pPr>
              <w:tabs>
                <w:tab w:val="left" w:pos="220"/>
              </w:tabs>
              <w:rPr>
                <w:rFonts w:cs="Times New Roman"/>
              </w:rPr>
            </w:pPr>
            <w:r>
              <w:rPr>
                <w:rFonts w:cs="Times New Roman"/>
              </w:rPr>
              <w:t>25</w:t>
            </w:r>
            <w:r>
              <w:rPr>
                <w:rFonts w:cs="Times New Roman"/>
                <w:vertAlign w:val="superscript"/>
              </w:rPr>
              <w:t>th</w:t>
            </w:r>
            <w:r>
              <w:rPr>
                <w:rFonts w:cs="Times New Roman"/>
              </w:rPr>
              <w:t xml:space="preserve"> Apr., 2024</w:t>
            </w:r>
          </w:p>
        </w:tc>
      </w:tr>
      <w:tr w14:paraId="4A991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625" w:type="dxa"/>
          </w:tcPr>
          <w:p w14:paraId="4B505965">
            <w:pPr>
              <w:tabs>
                <w:tab w:val="left" w:pos="220"/>
              </w:tabs>
              <w:rPr>
                <w:rFonts w:cs="Times New Roman"/>
              </w:rPr>
            </w:pPr>
            <w:r>
              <w:rPr>
                <w:rFonts w:cs="Times New Roman"/>
              </w:rPr>
              <w:t>111</w:t>
            </w:r>
          </w:p>
        </w:tc>
        <w:tc>
          <w:tcPr>
            <w:tcW w:w="3131" w:type="dxa"/>
          </w:tcPr>
          <w:p w14:paraId="6482446B">
            <w:pPr>
              <w:tabs>
                <w:tab w:val="left" w:pos="220"/>
              </w:tabs>
              <w:rPr>
                <w:rFonts w:cs="Times New Roman"/>
              </w:rPr>
            </w:pPr>
            <w:r>
              <w:rPr>
                <w:rFonts w:cs="Times New Roman"/>
              </w:rPr>
              <w:t>Prof. Victor Usinomen Okojie; B.Sc (Zaria); PGD (Uniben); M.Sc (EDSU); PhD (Uniben)</w:t>
            </w:r>
          </w:p>
        </w:tc>
        <w:tc>
          <w:tcPr>
            <w:tcW w:w="1549" w:type="dxa"/>
          </w:tcPr>
          <w:p w14:paraId="748796B5">
            <w:pPr>
              <w:tabs>
                <w:tab w:val="left" w:pos="220"/>
              </w:tabs>
              <w:rPr>
                <w:rFonts w:cs="Times New Roman"/>
              </w:rPr>
            </w:pPr>
            <w:r>
              <w:rPr>
                <w:rFonts w:cs="Times New Roman"/>
              </w:rPr>
              <w:t>Analytical Environmental Chemistry</w:t>
            </w:r>
          </w:p>
        </w:tc>
        <w:tc>
          <w:tcPr>
            <w:tcW w:w="2914" w:type="dxa"/>
          </w:tcPr>
          <w:p w14:paraId="10AD95CB">
            <w:pPr>
              <w:tabs>
                <w:tab w:val="left" w:pos="220"/>
              </w:tabs>
              <w:rPr>
                <w:rFonts w:cs="Times New Roman"/>
              </w:rPr>
            </w:pPr>
            <w:r>
              <w:rPr>
                <w:rFonts w:cs="Times New Roman"/>
              </w:rPr>
              <w:t>The Dynamics of Metals and Other Chemicals of Concern in Environmental Media: Implications for Human Health</w:t>
            </w:r>
          </w:p>
        </w:tc>
        <w:tc>
          <w:tcPr>
            <w:tcW w:w="1226" w:type="dxa"/>
          </w:tcPr>
          <w:p w14:paraId="6E583FEB">
            <w:pPr>
              <w:tabs>
                <w:tab w:val="left" w:pos="220"/>
              </w:tabs>
              <w:rPr>
                <w:rFonts w:cs="Times New Roman"/>
              </w:rPr>
            </w:pPr>
            <w:r>
              <w:rPr>
                <w:rFonts w:cs="Times New Roman"/>
              </w:rPr>
              <w:t>16</w:t>
            </w:r>
            <w:r>
              <w:rPr>
                <w:rFonts w:cs="Times New Roman"/>
                <w:vertAlign w:val="superscript"/>
              </w:rPr>
              <w:t>th</w:t>
            </w:r>
            <w:r>
              <w:rPr>
                <w:rFonts w:cs="Times New Roman"/>
              </w:rPr>
              <w:t xml:space="preserve"> May, 2024</w:t>
            </w:r>
          </w:p>
        </w:tc>
      </w:tr>
      <w:tr w14:paraId="39EEC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EF66736">
            <w:pPr>
              <w:tabs>
                <w:tab w:val="left" w:pos="220"/>
              </w:tabs>
              <w:rPr>
                <w:rFonts w:cs="Times New Roman"/>
              </w:rPr>
            </w:pPr>
            <w:r>
              <w:rPr>
                <w:rFonts w:cs="Times New Roman"/>
              </w:rPr>
              <w:t>112</w:t>
            </w:r>
          </w:p>
        </w:tc>
        <w:tc>
          <w:tcPr>
            <w:tcW w:w="3131" w:type="dxa"/>
          </w:tcPr>
          <w:p w14:paraId="7DE283A4">
            <w:pPr>
              <w:tabs>
                <w:tab w:val="left" w:pos="220"/>
              </w:tabs>
              <w:rPr>
                <w:rFonts w:cs="Times New Roman"/>
              </w:rPr>
            </w:pPr>
            <w:r>
              <w:rPr>
                <w:rFonts w:cs="Times New Roman"/>
              </w:rPr>
              <w:t>Prof. Theophilus O. Agweda; B.Sc (Hons) (Ekpoma); M.Sc (Ibadan); PhD (Ekpoma)</w:t>
            </w:r>
          </w:p>
        </w:tc>
        <w:tc>
          <w:tcPr>
            <w:tcW w:w="1549" w:type="dxa"/>
          </w:tcPr>
          <w:p w14:paraId="75E122AF">
            <w:pPr>
              <w:tabs>
                <w:tab w:val="left" w:pos="220"/>
              </w:tabs>
              <w:rPr>
                <w:rFonts w:cs="Times New Roman"/>
              </w:rPr>
            </w:pPr>
            <w:r>
              <w:rPr>
                <w:rFonts w:cs="Times New Roman"/>
              </w:rPr>
              <w:t>Sociology</w:t>
            </w:r>
          </w:p>
        </w:tc>
        <w:tc>
          <w:tcPr>
            <w:tcW w:w="2914" w:type="dxa"/>
          </w:tcPr>
          <w:p w14:paraId="58FC9A5E">
            <w:pPr>
              <w:tabs>
                <w:tab w:val="left" w:pos="220"/>
              </w:tabs>
              <w:rPr>
                <w:rFonts w:cs="Times New Roman"/>
              </w:rPr>
            </w:pPr>
            <w:r>
              <w:rPr>
                <w:rFonts w:cs="Times New Roman"/>
              </w:rPr>
              <w:t>To Be Infected is Not to Be Stigmatized: An Invitation for Socio-Medical Balancing</w:t>
            </w:r>
          </w:p>
        </w:tc>
        <w:tc>
          <w:tcPr>
            <w:tcW w:w="1226" w:type="dxa"/>
          </w:tcPr>
          <w:p w14:paraId="6DBAFFA8">
            <w:pPr>
              <w:tabs>
                <w:tab w:val="left" w:pos="220"/>
              </w:tabs>
              <w:rPr>
                <w:rFonts w:cs="Times New Roman"/>
              </w:rPr>
            </w:pPr>
            <w:r>
              <w:rPr>
                <w:rFonts w:cs="Times New Roman"/>
              </w:rPr>
              <w:t>30</w:t>
            </w:r>
            <w:r>
              <w:rPr>
                <w:rFonts w:cs="Times New Roman"/>
                <w:vertAlign w:val="superscript"/>
              </w:rPr>
              <w:t>th</w:t>
            </w:r>
            <w:r>
              <w:rPr>
                <w:rFonts w:cs="Times New Roman"/>
              </w:rPr>
              <w:t xml:space="preserve"> May, 2024</w:t>
            </w:r>
          </w:p>
        </w:tc>
      </w:tr>
      <w:tr w14:paraId="368DC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18169260">
            <w:pPr>
              <w:tabs>
                <w:tab w:val="left" w:pos="220"/>
              </w:tabs>
              <w:rPr>
                <w:rFonts w:cs="Times New Roman"/>
              </w:rPr>
            </w:pPr>
            <w:r>
              <w:rPr>
                <w:rFonts w:cs="Times New Roman"/>
              </w:rPr>
              <w:t>113</w:t>
            </w:r>
          </w:p>
        </w:tc>
        <w:tc>
          <w:tcPr>
            <w:tcW w:w="3131" w:type="dxa"/>
          </w:tcPr>
          <w:p w14:paraId="34FA1D94">
            <w:pPr>
              <w:tabs>
                <w:tab w:val="left" w:pos="220"/>
              </w:tabs>
              <w:rPr>
                <w:rFonts w:cs="Times New Roman"/>
              </w:rPr>
            </w:pPr>
            <w:r>
              <w:rPr>
                <w:rFonts w:cs="Times New Roman"/>
              </w:rPr>
              <w:t>Prof. Momoh Lawal Rilwani; B.Sc (Hons) (Jos); M.Sc (Lagos); PhD (Uniben)</w:t>
            </w:r>
          </w:p>
        </w:tc>
        <w:tc>
          <w:tcPr>
            <w:tcW w:w="1549" w:type="dxa"/>
          </w:tcPr>
          <w:p w14:paraId="7A4D9326">
            <w:pPr>
              <w:tabs>
                <w:tab w:val="left" w:pos="220"/>
              </w:tabs>
              <w:rPr>
                <w:rFonts w:cs="Times New Roman"/>
              </w:rPr>
            </w:pPr>
            <w:r>
              <w:rPr>
                <w:rFonts w:cs="Times New Roman"/>
              </w:rPr>
              <w:t>Geoinformatics</w:t>
            </w:r>
          </w:p>
        </w:tc>
        <w:tc>
          <w:tcPr>
            <w:tcW w:w="2914" w:type="dxa"/>
          </w:tcPr>
          <w:p w14:paraId="0D131796">
            <w:pPr>
              <w:tabs>
                <w:tab w:val="left" w:pos="220"/>
              </w:tabs>
              <w:rPr>
                <w:rFonts w:cs="Times New Roman"/>
              </w:rPr>
            </w:pPr>
            <w:r>
              <w:rPr>
                <w:rFonts w:cs="Times New Roman"/>
              </w:rPr>
              <w:t>Sensing and Synthesis for Advancement: Exploit with Geoinformatics</w:t>
            </w:r>
          </w:p>
        </w:tc>
        <w:tc>
          <w:tcPr>
            <w:tcW w:w="1226" w:type="dxa"/>
          </w:tcPr>
          <w:p w14:paraId="307C95DB">
            <w:pPr>
              <w:tabs>
                <w:tab w:val="left" w:pos="220"/>
              </w:tabs>
              <w:rPr>
                <w:rFonts w:cs="Times New Roman"/>
              </w:rPr>
            </w:pPr>
            <w:r>
              <w:rPr>
                <w:rFonts w:cs="Times New Roman"/>
              </w:rPr>
              <w:t>13</w:t>
            </w:r>
            <w:r>
              <w:rPr>
                <w:rFonts w:cs="Times New Roman"/>
                <w:vertAlign w:val="superscript"/>
              </w:rPr>
              <w:t>th</w:t>
            </w:r>
            <w:r>
              <w:rPr>
                <w:rFonts w:cs="Times New Roman"/>
              </w:rPr>
              <w:t xml:space="preserve"> Jun., 2024</w:t>
            </w:r>
          </w:p>
        </w:tc>
      </w:tr>
      <w:tr w14:paraId="64F42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91254C9">
            <w:pPr>
              <w:tabs>
                <w:tab w:val="left" w:pos="220"/>
              </w:tabs>
              <w:rPr>
                <w:rFonts w:cs="Times New Roman"/>
              </w:rPr>
            </w:pPr>
            <w:r>
              <w:rPr>
                <w:rFonts w:cs="Times New Roman"/>
              </w:rPr>
              <w:t>114</w:t>
            </w:r>
          </w:p>
        </w:tc>
        <w:tc>
          <w:tcPr>
            <w:tcW w:w="3131" w:type="dxa"/>
          </w:tcPr>
          <w:p w14:paraId="4F4B8B52">
            <w:pPr>
              <w:tabs>
                <w:tab w:val="left" w:pos="220"/>
              </w:tabs>
              <w:rPr>
                <w:rFonts w:cs="Times New Roman"/>
              </w:rPr>
            </w:pPr>
            <w:r>
              <w:rPr>
                <w:rFonts w:cs="Times New Roman"/>
              </w:rPr>
              <w:t>Prof. Charles Onomudo Aluede; B.A (Ed) (BENSU); M.A; PhD (Ibadan); FANIM</w:t>
            </w:r>
          </w:p>
        </w:tc>
        <w:tc>
          <w:tcPr>
            <w:tcW w:w="1549" w:type="dxa"/>
          </w:tcPr>
          <w:p w14:paraId="202C9CA3">
            <w:pPr>
              <w:tabs>
                <w:tab w:val="left" w:pos="220"/>
              </w:tabs>
              <w:rPr>
                <w:rFonts w:cs="Times New Roman"/>
              </w:rPr>
            </w:pPr>
            <w:r>
              <w:rPr>
                <w:rFonts w:cs="Times New Roman"/>
              </w:rPr>
              <w:t>Music</w:t>
            </w:r>
          </w:p>
        </w:tc>
        <w:tc>
          <w:tcPr>
            <w:tcW w:w="2914" w:type="dxa"/>
          </w:tcPr>
          <w:p w14:paraId="6A81D681">
            <w:pPr>
              <w:tabs>
                <w:tab w:val="left" w:pos="220"/>
              </w:tabs>
              <w:rPr>
                <w:rFonts w:cs="Times New Roman"/>
              </w:rPr>
            </w:pPr>
            <w:r>
              <w:rPr>
                <w:rFonts w:cs="Times New Roman"/>
              </w:rPr>
              <w:t>Traversing Esan Landscape and Its Soundscape: My Dicta</w:t>
            </w:r>
          </w:p>
        </w:tc>
        <w:tc>
          <w:tcPr>
            <w:tcW w:w="1226" w:type="dxa"/>
          </w:tcPr>
          <w:p w14:paraId="120F0309">
            <w:pPr>
              <w:tabs>
                <w:tab w:val="left" w:pos="220"/>
              </w:tabs>
              <w:rPr>
                <w:rFonts w:cs="Times New Roman"/>
              </w:rPr>
            </w:pPr>
            <w:r>
              <w:rPr>
                <w:rFonts w:cs="Times New Roman"/>
              </w:rPr>
              <w:t>27</w:t>
            </w:r>
            <w:r>
              <w:rPr>
                <w:rFonts w:cs="Times New Roman"/>
                <w:vertAlign w:val="superscript"/>
              </w:rPr>
              <w:t>th</w:t>
            </w:r>
            <w:r>
              <w:rPr>
                <w:rFonts w:cs="Times New Roman"/>
              </w:rPr>
              <w:t xml:space="preserve"> Jyn., 2024</w:t>
            </w:r>
          </w:p>
        </w:tc>
      </w:tr>
      <w:tr w14:paraId="7E746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04908DA0">
            <w:pPr>
              <w:tabs>
                <w:tab w:val="left" w:pos="220"/>
              </w:tabs>
              <w:rPr>
                <w:rFonts w:cs="Times New Roman"/>
              </w:rPr>
            </w:pPr>
            <w:r>
              <w:rPr>
                <w:rFonts w:cs="Times New Roman"/>
              </w:rPr>
              <w:t>115</w:t>
            </w:r>
          </w:p>
        </w:tc>
        <w:tc>
          <w:tcPr>
            <w:tcW w:w="3131" w:type="dxa"/>
          </w:tcPr>
          <w:p w14:paraId="3895D78A">
            <w:pPr>
              <w:tabs>
                <w:tab w:val="left" w:pos="220"/>
              </w:tabs>
              <w:rPr>
                <w:rFonts w:cs="Times New Roman"/>
              </w:rPr>
            </w:pPr>
            <w:r>
              <w:rPr>
                <w:rFonts w:cs="Times New Roman"/>
              </w:rPr>
              <w:t xml:space="preserve">Engr. Prof. Adavbiele Airewe Stephen; HND (Auchi); Grad. Eng. (NSE); M.Eng (EDSU); PhD (AAUE); Cert. Gas Turbine Engine Technology (IGTI, USA); AMASME; MNSE; R. Engr. (COREN) </w:t>
            </w:r>
          </w:p>
        </w:tc>
        <w:tc>
          <w:tcPr>
            <w:tcW w:w="1549" w:type="dxa"/>
          </w:tcPr>
          <w:p w14:paraId="677AAD9C">
            <w:pPr>
              <w:tabs>
                <w:tab w:val="left" w:pos="220"/>
              </w:tabs>
              <w:rPr>
                <w:rFonts w:cs="Times New Roman"/>
              </w:rPr>
            </w:pPr>
            <w:r>
              <w:rPr>
                <w:rFonts w:cs="Times New Roman"/>
              </w:rPr>
              <w:t>Mechanical Engineering (thermo-fluids)</w:t>
            </w:r>
          </w:p>
        </w:tc>
        <w:tc>
          <w:tcPr>
            <w:tcW w:w="2914" w:type="dxa"/>
          </w:tcPr>
          <w:p w14:paraId="686329C3">
            <w:pPr>
              <w:tabs>
                <w:tab w:val="left" w:pos="220"/>
              </w:tabs>
              <w:rPr>
                <w:rFonts w:cs="Times New Roman"/>
              </w:rPr>
            </w:pPr>
            <w:r>
              <w:rPr>
                <w:rFonts w:cs="Times New Roman"/>
              </w:rPr>
              <w:t>Handling Puzzles in Aerospace Travels: The CFD Approach</w:t>
            </w:r>
          </w:p>
        </w:tc>
        <w:tc>
          <w:tcPr>
            <w:tcW w:w="1226" w:type="dxa"/>
          </w:tcPr>
          <w:p w14:paraId="3F4613DA">
            <w:pPr>
              <w:tabs>
                <w:tab w:val="left" w:pos="220"/>
              </w:tabs>
              <w:rPr>
                <w:rFonts w:cs="Times New Roman"/>
              </w:rPr>
            </w:pPr>
            <w:r>
              <w:rPr>
                <w:rFonts w:cs="Times New Roman"/>
              </w:rPr>
              <w:t>11 Jul., 2024</w:t>
            </w:r>
          </w:p>
        </w:tc>
      </w:tr>
      <w:tr w14:paraId="1CC30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53DD0161">
            <w:pPr>
              <w:tabs>
                <w:tab w:val="left" w:pos="220"/>
              </w:tabs>
              <w:rPr>
                <w:rFonts w:cs="Times New Roman"/>
              </w:rPr>
            </w:pPr>
            <w:r>
              <w:rPr>
                <w:rFonts w:cs="Times New Roman"/>
              </w:rPr>
              <w:t>116</w:t>
            </w:r>
          </w:p>
        </w:tc>
        <w:tc>
          <w:tcPr>
            <w:tcW w:w="3131" w:type="dxa"/>
          </w:tcPr>
          <w:p w14:paraId="608ACE50">
            <w:pPr>
              <w:tabs>
                <w:tab w:val="left" w:pos="220"/>
              </w:tabs>
              <w:rPr>
                <w:rFonts w:cs="Times New Roman"/>
              </w:rPr>
            </w:pPr>
            <w:r>
              <w:rPr>
                <w:rFonts w:cs="Times New Roman"/>
              </w:rPr>
              <w:t>Prof. Cletus E. Abulimen; N.C.E (Abraka); B.Sc (Ed) (Lagos); M.Sc (EDSU); PhD (Benin)</w:t>
            </w:r>
          </w:p>
        </w:tc>
        <w:tc>
          <w:tcPr>
            <w:tcW w:w="1549" w:type="dxa"/>
          </w:tcPr>
          <w:p w14:paraId="4819B85E">
            <w:pPr>
              <w:tabs>
                <w:tab w:val="left" w:pos="220"/>
              </w:tabs>
              <w:rPr>
                <w:rFonts w:cs="Times New Roman"/>
              </w:rPr>
            </w:pPr>
            <w:r>
              <w:rPr>
                <w:rFonts w:cs="Times New Roman"/>
              </w:rPr>
              <w:t>Mathematics (Numerical Analysis/Computional Mathematics)</w:t>
            </w:r>
          </w:p>
        </w:tc>
        <w:tc>
          <w:tcPr>
            <w:tcW w:w="2914" w:type="dxa"/>
          </w:tcPr>
          <w:p w14:paraId="1DC2B7CE">
            <w:pPr>
              <w:tabs>
                <w:tab w:val="left" w:pos="220"/>
              </w:tabs>
              <w:rPr>
                <w:rFonts w:cs="Times New Roman"/>
              </w:rPr>
            </w:pPr>
            <w:r>
              <w:rPr>
                <w:rFonts w:cs="Times New Roman"/>
              </w:rPr>
              <w:t>“Everything is Mathematics: Numerical Tools, My Language”</w:t>
            </w:r>
          </w:p>
        </w:tc>
        <w:tc>
          <w:tcPr>
            <w:tcW w:w="1226" w:type="dxa"/>
          </w:tcPr>
          <w:p w14:paraId="52122284">
            <w:pPr>
              <w:tabs>
                <w:tab w:val="left" w:pos="220"/>
              </w:tabs>
              <w:rPr>
                <w:rFonts w:cs="Times New Roman"/>
              </w:rPr>
            </w:pPr>
            <w:r>
              <w:rPr>
                <w:rFonts w:cs="Times New Roman"/>
              </w:rPr>
              <w:t>8</w:t>
            </w:r>
            <w:r>
              <w:rPr>
                <w:rFonts w:cs="Times New Roman"/>
                <w:vertAlign w:val="superscript"/>
              </w:rPr>
              <w:t>th</w:t>
            </w:r>
            <w:r>
              <w:rPr>
                <w:rFonts w:cs="Times New Roman"/>
              </w:rPr>
              <w:t xml:space="preserve"> Aug., 2024</w:t>
            </w:r>
          </w:p>
        </w:tc>
      </w:tr>
      <w:tr w14:paraId="4EAA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7" w:hRule="atLeast"/>
        </w:trPr>
        <w:tc>
          <w:tcPr>
            <w:tcW w:w="625" w:type="dxa"/>
          </w:tcPr>
          <w:p w14:paraId="005C1FC0">
            <w:pPr>
              <w:tabs>
                <w:tab w:val="left" w:pos="220"/>
              </w:tabs>
              <w:rPr>
                <w:rFonts w:cs="Times New Roman"/>
              </w:rPr>
            </w:pPr>
            <w:r>
              <w:rPr>
                <w:rFonts w:cs="Times New Roman"/>
              </w:rPr>
              <w:t>117</w:t>
            </w:r>
          </w:p>
        </w:tc>
        <w:tc>
          <w:tcPr>
            <w:tcW w:w="3131" w:type="dxa"/>
          </w:tcPr>
          <w:p w14:paraId="693AA78B">
            <w:pPr>
              <w:tabs>
                <w:tab w:val="left" w:pos="220"/>
              </w:tabs>
              <w:rPr>
                <w:rFonts w:cs="Times New Roman"/>
              </w:rPr>
            </w:pPr>
            <w:r>
              <w:rPr>
                <w:rFonts w:cs="Times New Roman"/>
              </w:rPr>
              <w:t>Prof. Patrick Osatohanmwen Oviasuyi; BPA (Hons) (Benin); PGDE (Sokoto); M.Sc (Benin); PhD (AAUE); FCAI; FNIM; FPAM; FCEnt; FCDA</w:t>
            </w:r>
          </w:p>
        </w:tc>
        <w:tc>
          <w:tcPr>
            <w:tcW w:w="1549" w:type="dxa"/>
          </w:tcPr>
          <w:p w14:paraId="0A3A7271">
            <w:pPr>
              <w:tabs>
                <w:tab w:val="left" w:pos="220"/>
              </w:tabs>
              <w:rPr>
                <w:rFonts w:cs="Times New Roman"/>
              </w:rPr>
            </w:pPr>
            <w:r>
              <w:rPr>
                <w:rFonts w:cs="Times New Roman"/>
              </w:rPr>
              <w:t>Public Administration</w:t>
            </w:r>
          </w:p>
        </w:tc>
        <w:tc>
          <w:tcPr>
            <w:tcW w:w="2914" w:type="dxa"/>
          </w:tcPr>
          <w:p w14:paraId="7F450CF9">
            <w:pPr>
              <w:tabs>
                <w:tab w:val="left" w:pos="220"/>
              </w:tabs>
              <w:rPr>
                <w:rFonts w:cs="Times New Roman"/>
              </w:rPr>
            </w:pPr>
            <w:r>
              <w:rPr>
                <w:rFonts w:cs="Times New Roman"/>
              </w:rPr>
              <w:t>Community-Based Associations: A Potent Instrument for Local Government Administration in Nigeria</w:t>
            </w:r>
          </w:p>
        </w:tc>
        <w:tc>
          <w:tcPr>
            <w:tcW w:w="1226" w:type="dxa"/>
          </w:tcPr>
          <w:p w14:paraId="170FA7F1">
            <w:pPr>
              <w:tabs>
                <w:tab w:val="left" w:pos="220"/>
              </w:tabs>
              <w:rPr>
                <w:rFonts w:cs="Times New Roman"/>
              </w:rPr>
            </w:pPr>
            <w:r>
              <w:rPr>
                <w:rFonts w:cs="Times New Roman"/>
              </w:rPr>
              <w:t>29</w:t>
            </w:r>
            <w:r>
              <w:rPr>
                <w:rFonts w:cs="Times New Roman"/>
                <w:vertAlign w:val="superscript"/>
              </w:rPr>
              <w:t>th</w:t>
            </w:r>
            <w:r>
              <w:rPr>
                <w:rFonts w:cs="Times New Roman"/>
              </w:rPr>
              <w:t xml:space="preserve"> Aug., 2024</w:t>
            </w:r>
          </w:p>
        </w:tc>
      </w:tr>
      <w:tr w14:paraId="72B8A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F5ED373">
            <w:pPr>
              <w:tabs>
                <w:tab w:val="left" w:pos="220"/>
              </w:tabs>
              <w:rPr>
                <w:rFonts w:cs="Times New Roman"/>
              </w:rPr>
            </w:pPr>
            <w:r>
              <w:rPr>
                <w:rFonts w:cs="Times New Roman"/>
              </w:rPr>
              <w:t>118</w:t>
            </w:r>
          </w:p>
        </w:tc>
        <w:tc>
          <w:tcPr>
            <w:tcW w:w="3131" w:type="dxa"/>
          </w:tcPr>
          <w:p w14:paraId="73E2E620">
            <w:pPr>
              <w:tabs>
                <w:tab w:val="left" w:pos="220"/>
              </w:tabs>
              <w:rPr>
                <w:rFonts w:cs="Times New Roman"/>
              </w:rPr>
            </w:pPr>
            <w:r>
              <w:rPr>
                <w:rFonts w:cs="Times New Roman"/>
              </w:rPr>
              <w:t>Prof. Samuel Olusola Ajagun; NCE (Uniben); B.A. Ed (Hons) (Ilorin); MPA (Ilorin); M.Sc (Benin); PGD (Ekpoma); PhD (Ekpoma)</w:t>
            </w:r>
          </w:p>
        </w:tc>
        <w:tc>
          <w:tcPr>
            <w:tcW w:w="1549" w:type="dxa"/>
          </w:tcPr>
          <w:p w14:paraId="62A3437F">
            <w:pPr>
              <w:tabs>
                <w:tab w:val="left" w:pos="220"/>
              </w:tabs>
              <w:rPr>
                <w:rFonts w:cs="Times New Roman"/>
              </w:rPr>
            </w:pPr>
            <w:r>
              <w:rPr>
                <w:rFonts w:cs="Times New Roman"/>
              </w:rPr>
              <w:t>Public Administration</w:t>
            </w:r>
          </w:p>
        </w:tc>
        <w:tc>
          <w:tcPr>
            <w:tcW w:w="2914" w:type="dxa"/>
          </w:tcPr>
          <w:p w14:paraId="2C61524E">
            <w:pPr>
              <w:tabs>
                <w:tab w:val="left" w:pos="220"/>
              </w:tabs>
              <w:rPr>
                <w:rFonts w:cs="Times New Roman"/>
              </w:rPr>
            </w:pPr>
            <w:r>
              <w:rPr>
                <w:rFonts w:cs="Times New Roman"/>
              </w:rPr>
              <w:t>Sink or Float? Interrogating Corruption and Poverty in Nigeria</w:t>
            </w:r>
          </w:p>
        </w:tc>
        <w:tc>
          <w:tcPr>
            <w:tcW w:w="1226" w:type="dxa"/>
          </w:tcPr>
          <w:p w14:paraId="2C9F34C8">
            <w:pPr>
              <w:tabs>
                <w:tab w:val="left" w:pos="220"/>
              </w:tabs>
              <w:rPr>
                <w:rFonts w:cs="Times New Roman"/>
              </w:rPr>
            </w:pPr>
            <w:r>
              <w:rPr>
                <w:rFonts w:cs="Times New Roman"/>
              </w:rPr>
              <w:t>26</w:t>
            </w:r>
            <w:r>
              <w:rPr>
                <w:rFonts w:cs="Times New Roman"/>
                <w:vertAlign w:val="superscript"/>
              </w:rPr>
              <w:t>th</w:t>
            </w:r>
            <w:r>
              <w:rPr>
                <w:rFonts w:cs="Times New Roman"/>
              </w:rPr>
              <w:t xml:space="preserve"> Sept., 2024</w:t>
            </w:r>
          </w:p>
        </w:tc>
      </w:tr>
      <w:tr w14:paraId="2C15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1668D05">
            <w:pPr>
              <w:tabs>
                <w:tab w:val="left" w:pos="220"/>
              </w:tabs>
              <w:rPr>
                <w:rFonts w:cs="Times New Roman"/>
              </w:rPr>
            </w:pPr>
            <w:r>
              <w:rPr>
                <w:rFonts w:cs="Times New Roman"/>
              </w:rPr>
              <w:t>119</w:t>
            </w:r>
          </w:p>
        </w:tc>
        <w:tc>
          <w:tcPr>
            <w:tcW w:w="3131" w:type="dxa"/>
          </w:tcPr>
          <w:p w14:paraId="463CC3AB">
            <w:pPr>
              <w:tabs>
                <w:tab w:val="left" w:pos="220"/>
              </w:tabs>
              <w:rPr>
                <w:rFonts w:cs="Times New Roman"/>
              </w:rPr>
            </w:pPr>
            <w:r>
              <w:rPr>
                <w:rFonts w:cs="Times New Roman"/>
              </w:rPr>
              <w:t>Prof. Mabel Ejoghoye Aziegbe; B.A. Ed (Abraka); M.A (Ibadan); PhD (Ekpoma)</w:t>
            </w:r>
          </w:p>
        </w:tc>
        <w:tc>
          <w:tcPr>
            <w:tcW w:w="1549" w:type="dxa"/>
          </w:tcPr>
          <w:p w14:paraId="242B6292">
            <w:pPr>
              <w:tabs>
                <w:tab w:val="left" w:pos="220"/>
              </w:tabs>
              <w:rPr>
                <w:rFonts w:cs="Times New Roman"/>
              </w:rPr>
            </w:pPr>
            <w:r>
              <w:rPr>
                <w:rFonts w:cs="Times New Roman"/>
              </w:rPr>
              <w:t>French Applied Linguistics</w:t>
            </w:r>
          </w:p>
        </w:tc>
        <w:tc>
          <w:tcPr>
            <w:tcW w:w="2914" w:type="dxa"/>
          </w:tcPr>
          <w:p w14:paraId="2F7140A6">
            <w:pPr>
              <w:tabs>
                <w:tab w:val="left" w:pos="220"/>
              </w:tabs>
              <w:rPr>
                <w:rFonts w:cs="Times New Roman"/>
              </w:rPr>
            </w:pPr>
            <w:r>
              <w:rPr>
                <w:rFonts w:cs="Times New Roman"/>
              </w:rPr>
              <w:t>The Non-Use of Sub-Dot Diacritics in Esan Orthography: A Disservice in Esan (76pp)</w:t>
            </w:r>
          </w:p>
        </w:tc>
        <w:tc>
          <w:tcPr>
            <w:tcW w:w="1226" w:type="dxa"/>
          </w:tcPr>
          <w:p w14:paraId="26C9F054">
            <w:pPr>
              <w:tabs>
                <w:tab w:val="left" w:pos="220"/>
              </w:tabs>
              <w:rPr>
                <w:rFonts w:cs="Times New Roman"/>
              </w:rPr>
            </w:pPr>
            <w:r>
              <w:rPr>
                <w:rFonts w:cs="Times New Roman"/>
              </w:rPr>
              <w:t>10</w:t>
            </w:r>
            <w:r>
              <w:rPr>
                <w:rFonts w:cs="Times New Roman"/>
                <w:vertAlign w:val="superscript"/>
              </w:rPr>
              <w:t>th</w:t>
            </w:r>
            <w:r>
              <w:rPr>
                <w:rFonts w:cs="Times New Roman"/>
              </w:rPr>
              <w:t xml:space="preserve"> Oct., 2024</w:t>
            </w:r>
          </w:p>
        </w:tc>
      </w:tr>
      <w:tr w14:paraId="7330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54AA153F">
            <w:pPr>
              <w:tabs>
                <w:tab w:val="left" w:pos="220"/>
              </w:tabs>
              <w:rPr>
                <w:rFonts w:cs="Times New Roman"/>
              </w:rPr>
            </w:pPr>
            <w:r>
              <w:rPr>
                <w:rFonts w:cs="Times New Roman"/>
              </w:rPr>
              <w:t>120</w:t>
            </w:r>
          </w:p>
        </w:tc>
        <w:tc>
          <w:tcPr>
            <w:tcW w:w="3131" w:type="dxa"/>
          </w:tcPr>
          <w:p w14:paraId="1BFDFBC3">
            <w:pPr>
              <w:tabs>
                <w:tab w:val="left" w:pos="220"/>
              </w:tabs>
              <w:rPr>
                <w:rFonts w:cs="Times New Roman"/>
              </w:rPr>
            </w:pPr>
            <w:r>
              <w:rPr>
                <w:rFonts w:cs="Times New Roman"/>
              </w:rPr>
              <w:t>Prof. Henry Odhianosen Imhonde; B.Sc (Hons); M.Sc; PhD (Ibadan)</w:t>
            </w:r>
          </w:p>
        </w:tc>
        <w:tc>
          <w:tcPr>
            <w:tcW w:w="1549" w:type="dxa"/>
          </w:tcPr>
          <w:p w14:paraId="79B03490">
            <w:pPr>
              <w:tabs>
                <w:tab w:val="left" w:pos="220"/>
              </w:tabs>
              <w:rPr>
                <w:rFonts w:cs="Times New Roman"/>
              </w:rPr>
            </w:pPr>
            <w:r>
              <w:rPr>
                <w:rFonts w:cs="Times New Roman"/>
              </w:rPr>
              <w:t>Psychology (Clinical)</w:t>
            </w:r>
          </w:p>
        </w:tc>
        <w:tc>
          <w:tcPr>
            <w:tcW w:w="2914" w:type="dxa"/>
          </w:tcPr>
          <w:p w14:paraId="77DD7883">
            <w:pPr>
              <w:tabs>
                <w:tab w:val="left" w:pos="220"/>
              </w:tabs>
              <w:rPr>
                <w:rFonts w:cs="Times New Roman"/>
              </w:rPr>
            </w:pPr>
            <w:r>
              <w:rPr>
                <w:rFonts w:cs="Times New Roman"/>
              </w:rPr>
              <w:t>How are You? Wholistic Approach to Psychological Well-Being (77pp)</w:t>
            </w:r>
          </w:p>
        </w:tc>
        <w:tc>
          <w:tcPr>
            <w:tcW w:w="1226" w:type="dxa"/>
          </w:tcPr>
          <w:p w14:paraId="066531B4">
            <w:pPr>
              <w:tabs>
                <w:tab w:val="left" w:pos="220"/>
              </w:tabs>
              <w:rPr>
                <w:rFonts w:cs="Times New Roman"/>
              </w:rPr>
            </w:pPr>
            <w:r>
              <w:rPr>
                <w:rFonts w:cs="Times New Roman"/>
              </w:rPr>
              <w:t>31</w:t>
            </w:r>
            <w:r>
              <w:rPr>
                <w:rFonts w:cs="Times New Roman"/>
                <w:vertAlign w:val="superscript"/>
              </w:rPr>
              <w:t>st</w:t>
            </w:r>
            <w:r>
              <w:rPr>
                <w:rFonts w:cs="Times New Roman"/>
              </w:rPr>
              <w:t xml:space="preserve"> Oct., 2024</w:t>
            </w:r>
          </w:p>
        </w:tc>
      </w:tr>
      <w:tr w14:paraId="634FE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26BCFFF1">
            <w:pPr>
              <w:tabs>
                <w:tab w:val="left" w:pos="220"/>
              </w:tabs>
              <w:rPr>
                <w:rFonts w:cs="Times New Roman"/>
              </w:rPr>
            </w:pPr>
            <w:r>
              <w:rPr>
                <w:rFonts w:cs="Times New Roman"/>
              </w:rPr>
              <w:t>121</w:t>
            </w:r>
          </w:p>
        </w:tc>
        <w:tc>
          <w:tcPr>
            <w:tcW w:w="3131" w:type="dxa"/>
          </w:tcPr>
          <w:p w14:paraId="3BB388B5">
            <w:pPr>
              <w:tabs>
                <w:tab w:val="left" w:pos="220"/>
              </w:tabs>
              <w:rPr>
                <w:rFonts w:cs="Times New Roman"/>
              </w:rPr>
            </w:pPr>
            <w:r>
              <w:rPr>
                <w:rFonts w:cs="Times New Roman"/>
              </w:rPr>
              <w:t>Prof. Mariam A. Iyeh; B.A. Hons (Ilorin); M.A. (EDSU); PhD (Ibadan)</w:t>
            </w:r>
          </w:p>
        </w:tc>
        <w:tc>
          <w:tcPr>
            <w:tcW w:w="1549" w:type="dxa"/>
          </w:tcPr>
          <w:p w14:paraId="71905E85">
            <w:pPr>
              <w:tabs>
                <w:tab w:val="left" w:pos="220"/>
              </w:tabs>
              <w:rPr>
                <w:rFonts w:cs="Times New Roman"/>
              </w:rPr>
            </w:pPr>
            <w:r>
              <w:rPr>
                <w:rFonts w:cs="Times New Roman"/>
              </w:rPr>
              <w:t>Dance Studies and Performance Aesthetics</w:t>
            </w:r>
          </w:p>
        </w:tc>
        <w:tc>
          <w:tcPr>
            <w:tcW w:w="2914" w:type="dxa"/>
          </w:tcPr>
          <w:p w14:paraId="4A86FB31">
            <w:pPr>
              <w:tabs>
                <w:tab w:val="left" w:pos="220"/>
              </w:tabs>
              <w:rPr>
                <w:rFonts w:cs="Times New Roman"/>
              </w:rPr>
            </w:pPr>
            <w:r>
              <w:rPr>
                <w:rFonts w:cs="Times New Roman"/>
              </w:rPr>
              <w:t>Dance Beyond Entertainment: The Many Faces of Dance in service of Humanity-Curriculum and Pedagogical Concerns</w:t>
            </w:r>
          </w:p>
        </w:tc>
        <w:tc>
          <w:tcPr>
            <w:tcW w:w="1226" w:type="dxa"/>
          </w:tcPr>
          <w:p w14:paraId="375F6FC7">
            <w:pPr>
              <w:tabs>
                <w:tab w:val="left" w:pos="220"/>
              </w:tabs>
              <w:rPr>
                <w:rFonts w:cs="Times New Roman"/>
              </w:rPr>
            </w:pPr>
            <w:r>
              <w:rPr>
                <w:rFonts w:cs="Times New Roman"/>
              </w:rPr>
              <w:t>28</w:t>
            </w:r>
            <w:r>
              <w:rPr>
                <w:rFonts w:cs="Times New Roman"/>
                <w:vertAlign w:val="superscript"/>
              </w:rPr>
              <w:t>th</w:t>
            </w:r>
            <w:r>
              <w:rPr>
                <w:rFonts w:cs="Times New Roman"/>
              </w:rPr>
              <w:t xml:space="preserve"> Nov., 2024</w:t>
            </w:r>
          </w:p>
        </w:tc>
      </w:tr>
      <w:tr w14:paraId="23F42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0BFC0F8F">
            <w:pPr>
              <w:tabs>
                <w:tab w:val="left" w:pos="220"/>
              </w:tabs>
              <w:rPr>
                <w:rFonts w:cs="Times New Roman"/>
              </w:rPr>
            </w:pPr>
            <w:r>
              <w:rPr>
                <w:rFonts w:cs="Times New Roman"/>
              </w:rPr>
              <w:t>122</w:t>
            </w:r>
          </w:p>
        </w:tc>
        <w:tc>
          <w:tcPr>
            <w:tcW w:w="3131" w:type="dxa"/>
          </w:tcPr>
          <w:p w14:paraId="5FED87C3">
            <w:pPr>
              <w:tabs>
                <w:tab w:val="left" w:pos="220"/>
              </w:tabs>
              <w:rPr>
                <w:rFonts w:cs="Times New Roman"/>
              </w:rPr>
            </w:pPr>
            <w:r>
              <w:rPr>
                <w:rFonts w:cs="Times New Roman"/>
              </w:rPr>
              <w:t>Prof. Henry H. Isitekhale; ND (Anwai); HND (Umudike); PGD (Nsukka); M.Sc (Ekpoma); PhD (Ekpoma)</w:t>
            </w:r>
          </w:p>
        </w:tc>
        <w:tc>
          <w:tcPr>
            <w:tcW w:w="1549" w:type="dxa"/>
          </w:tcPr>
          <w:p w14:paraId="367E2120">
            <w:pPr>
              <w:tabs>
                <w:tab w:val="left" w:pos="220"/>
              </w:tabs>
              <w:rPr>
                <w:rFonts w:cs="Times New Roman"/>
              </w:rPr>
            </w:pPr>
            <w:r>
              <w:rPr>
                <w:rFonts w:cs="Times New Roman"/>
              </w:rPr>
              <w:t>Soil Science</w:t>
            </w:r>
          </w:p>
        </w:tc>
        <w:tc>
          <w:tcPr>
            <w:tcW w:w="2914" w:type="dxa"/>
          </w:tcPr>
          <w:p w14:paraId="1FC9A7F0">
            <w:pPr>
              <w:tabs>
                <w:tab w:val="left" w:pos="220"/>
              </w:tabs>
              <w:rPr>
                <w:rFonts w:cs="Times New Roman"/>
              </w:rPr>
            </w:pPr>
            <w:r>
              <w:rPr>
                <w:rFonts w:cs="Times New Roman"/>
              </w:rPr>
              <w:t>Sustaining Soil Health for the Assurance of Food security in Nigeria</w:t>
            </w:r>
          </w:p>
        </w:tc>
        <w:tc>
          <w:tcPr>
            <w:tcW w:w="1226" w:type="dxa"/>
          </w:tcPr>
          <w:p w14:paraId="163C5777">
            <w:pPr>
              <w:tabs>
                <w:tab w:val="left" w:pos="220"/>
              </w:tabs>
              <w:rPr>
                <w:rFonts w:cs="Times New Roman"/>
              </w:rPr>
            </w:pPr>
            <w:r>
              <w:rPr>
                <w:rFonts w:cs="Times New Roman"/>
              </w:rPr>
              <w:t>16</w:t>
            </w:r>
            <w:r>
              <w:rPr>
                <w:rFonts w:cs="Times New Roman"/>
                <w:vertAlign w:val="superscript"/>
              </w:rPr>
              <w:t>th</w:t>
            </w:r>
            <w:r>
              <w:rPr>
                <w:rFonts w:cs="Times New Roman"/>
              </w:rPr>
              <w:t xml:space="preserve"> Jan., 2025</w:t>
            </w:r>
          </w:p>
        </w:tc>
      </w:tr>
      <w:tr w14:paraId="63CAE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8E23EB9">
            <w:pPr>
              <w:tabs>
                <w:tab w:val="left" w:pos="220"/>
              </w:tabs>
              <w:rPr>
                <w:rFonts w:cs="Times New Roman"/>
              </w:rPr>
            </w:pPr>
            <w:r>
              <w:rPr>
                <w:rFonts w:cs="Times New Roman"/>
              </w:rPr>
              <w:t>123</w:t>
            </w:r>
          </w:p>
        </w:tc>
        <w:tc>
          <w:tcPr>
            <w:tcW w:w="3131" w:type="dxa"/>
          </w:tcPr>
          <w:p w14:paraId="4A8D3CC9">
            <w:pPr>
              <w:tabs>
                <w:tab w:val="left" w:pos="220"/>
              </w:tabs>
              <w:rPr>
                <w:rFonts w:cs="Times New Roman"/>
              </w:rPr>
            </w:pPr>
            <w:r>
              <w:rPr>
                <w:rFonts w:cs="Times New Roman"/>
              </w:rPr>
              <w:t xml:space="preserve">Prof. Mrs. Odia Edith A. ; B.Sc (Hons) (Ekpoma); M.Sc (Ekpoma); PhD (Ekpoma) </w:t>
            </w:r>
          </w:p>
        </w:tc>
        <w:tc>
          <w:tcPr>
            <w:tcW w:w="1549" w:type="dxa"/>
          </w:tcPr>
          <w:p w14:paraId="2761D558">
            <w:pPr>
              <w:tabs>
                <w:tab w:val="left" w:pos="220"/>
              </w:tabs>
              <w:rPr>
                <w:rFonts w:cs="Times New Roman"/>
              </w:rPr>
            </w:pPr>
            <w:r>
              <w:rPr>
                <w:rFonts w:cs="Times New Roman"/>
              </w:rPr>
              <w:t>Chemistry</w:t>
            </w:r>
          </w:p>
        </w:tc>
        <w:tc>
          <w:tcPr>
            <w:tcW w:w="2914" w:type="dxa"/>
          </w:tcPr>
          <w:p w14:paraId="6F426124">
            <w:pPr>
              <w:tabs>
                <w:tab w:val="left" w:pos="220"/>
              </w:tabs>
              <w:rPr>
                <w:rFonts w:cs="Times New Roman"/>
              </w:rPr>
            </w:pPr>
            <w:r>
              <w:rPr>
                <w:rFonts w:cs="Times New Roman"/>
              </w:rPr>
              <w:t>“Chemical Constituents in Botanicals: Exploring the Gifts of Nature for Our Well-Being”</w:t>
            </w:r>
          </w:p>
        </w:tc>
        <w:tc>
          <w:tcPr>
            <w:tcW w:w="1226" w:type="dxa"/>
          </w:tcPr>
          <w:p w14:paraId="6095898D">
            <w:pPr>
              <w:tabs>
                <w:tab w:val="left" w:pos="220"/>
              </w:tabs>
              <w:rPr>
                <w:rFonts w:cs="Times New Roman"/>
              </w:rPr>
            </w:pPr>
            <w:r>
              <w:rPr>
                <w:rFonts w:cs="Times New Roman"/>
              </w:rPr>
              <w:t>13</w:t>
            </w:r>
            <w:r>
              <w:rPr>
                <w:rFonts w:cs="Times New Roman"/>
                <w:vertAlign w:val="superscript"/>
              </w:rPr>
              <w:t>th</w:t>
            </w:r>
            <w:r>
              <w:rPr>
                <w:rFonts w:cs="Times New Roman"/>
              </w:rPr>
              <w:t xml:space="preserve"> Feb., 2025</w:t>
            </w:r>
          </w:p>
        </w:tc>
      </w:tr>
      <w:tr w14:paraId="49BD4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9167F5B">
            <w:pPr>
              <w:tabs>
                <w:tab w:val="left" w:pos="220"/>
              </w:tabs>
              <w:rPr>
                <w:rFonts w:cs="Times New Roman"/>
              </w:rPr>
            </w:pPr>
            <w:r>
              <w:rPr>
                <w:rFonts w:cs="Times New Roman"/>
              </w:rPr>
              <w:t>124</w:t>
            </w:r>
          </w:p>
        </w:tc>
        <w:tc>
          <w:tcPr>
            <w:tcW w:w="3131" w:type="dxa"/>
          </w:tcPr>
          <w:p w14:paraId="6F20ADFB">
            <w:pPr>
              <w:tabs>
                <w:tab w:val="left" w:pos="220"/>
              </w:tabs>
              <w:rPr>
                <w:rFonts w:cs="Times New Roman"/>
              </w:rPr>
            </w:pPr>
            <w:r>
              <w:rPr>
                <w:rFonts w:cs="Times New Roman"/>
              </w:rPr>
              <w:t>Prof. Benson Iganiga; B.sc (Ed) (ekpoma); M.Sc (Ibadan); MBA (Ekpoma); PhD (Ekpoma)</w:t>
            </w:r>
          </w:p>
        </w:tc>
        <w:tc>
          <w:tcPr>
            <w:tcW w:w="1549" w:type="dxa"/>
          </w:tcPr>
          <w:p w14:paraId="53BF73FD">
            <w:pPr>
              <w:tabs>
                <w:tab w:val="left" w:pos="220"/>
              </w:tabs>
              <w:rPr>
                <w:rFonts w:cs="Times New Roman"/>
              </w:rPr>
            </w:pPr>
            <w:r>
              <w:rPr>
                <w:rFonts w:cs="Times New Roman"/>
              </w:rPr>
              <w:t>Economics</w:t>
            </w:r>
          </w:p>
        </w:tc>
        <w:tc>
          <w:tcPr>
            <w:tcW w:w="2914" w:type="dxa"/>
          </w:tcPr>
          <w:p w14:paraId="72D189D9">
            <w:pPr>
              <w:tabs>
                <w:tab w:val="left" w:pos="220"/>
              </w:tabs>
              <w:rPr>
                <w:rFonts w:cs="Times New Roman"/>
              </w:rPr>
            </w:pPr>
            <w:r>
              <w:rPr>
                <w:rFonts w:cs="Times New Roman"/>
              </w:rPr>
              <w:t>“Turning the Corner, the Delimma of Within and without Macroeconomic Policy Reforms and Poverty in Nigeria”</w:t>
            </w:r>
          </w:p>
        </w:tc>
        <w:tc>
          <w:tcPr>
            <w:tcW w:w="1226" w:type="dxa"/>
          </w:tcPr>
          <w:p w14:paraId="6BA23AF9">
            <w:pPr>
              <w:tabs>
                <w:tab w:val="left" w:pos="220"/>
              </w:tabs>
              <w:rPr>
                <w:rFonts w:cs="Times New Roman"/>
              </w:rPr>
            </w:pPr>
            <w:r>
              <w:rPr>
                <w:rFonts w:cs="Times New Roman"/>
              </w:rPr>
              <w:t>27</w:t>
            </w:r>
            <w:r>
              <w:rPr>
                <w:rFonts w:cs="Times New Roman"/>
                <w:vertAlign w:val="superscript"/>
              </w:rPr>
              <w:t>th</w:t>
            </w:r>
            <w:r>
              <w:rPr>
                <w:rFonts w:cs="Times New Roman"/>
              </w:rPr>
              <w:t xml:space="preserve"> Feb., 2025</w:t>
            </w:r>
          </w:p>
        </w:tc>
      </w:tr>
      <w:tr w14:paraId="7CB90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trPr>
        <w:tc>
          <w:tcPr>
            <w:tcW w:w="625" w:type="dxa"/>
          </w:tcPr>
          <w:p w14:paraId="7D5CEEBB">
            <w:pPr>
              <w:tabs>
                <w:tab w:val="left" w:pos="220"/>
              </w:tabs>
              <w:rPr>
                <w:rFonts w:cs="Times New Roman"/>
              </w:rPr>
            </w:pPr>
            <w:r>
              <w:rPr>
                <w:rFonts w:cs="Times New Roman"/>
              </w:rPr>
              <w:t>125</w:t>
            </w:r>
          </w:p>
        </w:tc>
        <w:tc>
          <w:tcPr>
            <w:tcW w:w="3131" w:type="dxa"/>
          </w:tcPr>
          <w:p w14:paraId="713F70AB">
            <w:pPr>
              <w:tabs>
                <w:tab w:val="left" w:pos="220"/>
              </w:tabs>
              <w:rPr>
                <w:rFonts w:cs="Times New Roman"/>
              </w:rPr>
            </w:pPr>
            <w:r>
              <w:rPr>
                <w:rFonts w:cs="Times New Roman"/>
              </w:rPr>
              <w:t>Prof. Victor B. Okaka; B.Sc (Hons); M.Sc; PhD (Ekpoma)</w:t>
            </w:r>
          </w:p>
        </w:tc>
        <w:tc>
          <w:tcPr>
            <w:tcW w:w="1549" w:type="dxa"/>
          </w:tcPr>
          <w:p w14:paraId="29D25053">
            <w:pPr>
              <w:tabs>
                <w:tab w:val="left" w:pos="220"/>
              </w:tabs>
              <w:rPr>
                <w:rFonts w:cs="Times New Roman"/>
              </w:rPr>
            </w:pPr>
            <w:r>
              <w:rPr>
                <w:rFonts w:cs="Times New Roman"/>
              </w:rPr>
              <w:t>Agriculture</w:t>
            </w:r>
          </w:p>
        </w:tc>
        <w:tc>
          <w:tcPr>
            <w:tcW w:w="2914" w:type="dxa"/>
          </w:tcPr>
          <w:p w14:paraId="046051E7">
            <w:pPr>
              <w:tabs>
                <w:tab w:val="left" w:pos="220"/>
              </w:tabs>
              <w:rPr>
                <w:rFonts w:cs="Times New Roman"/>
              </w:rPr>
            </w:pPr>
            <w:r>
              <w:rPr>
                <w:rFonts w:cs="Times New Roman"/>
              </w:rPr>
              <w:t>Green Gold: Unlocking the Potentials of Vegetables to Transform Tropical Landscape and Lives</w:t>
            </w:r>
          </w:p>
        </w:tc>
        <w:tc>
          <w:tcPr>
            <w:tcW w:w="1226" w:type="dxa"/>
          </w:tcPr>
          <w:p w14:paraId="7E32C4E9">
            <w:pPr>
              <w:tabs>
                <w:tab w:val="left" w:pos="220"/>
              </w:tabs>
              <w:rPr>
                <w:rFonts w:cs="Times New Roman"/>
              </w:rPr>
            </w:pPr>
            <w:r>
              <w:rPr>
                <w:rFonts w:cs="Times New Roman"/>
              </w:rPr>
              <w:t>13</w:t>
            </w:r>
            <w:r>
              <w:rPr>
                <w:rFonts w:cs="Times New Roman"/>
                <w:vertAlign w:val="superscript"/>
              </w:rPr>
              <w:t>th</w:t>
            </w:r>
            <w:r>
              <w:rPr>
                <w:rFonts w:cs="Times New Roman"/>
              </w:rPr>
              <w:t xml:space="preserve"> Mar., 2025</w:t>
            </w:r>
          </w:p>
        </w:tc>
      </w:tr>
      <w:tr w14:paraId="0DB5D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28597BC">
            <w:pPr>
              <w:tabs>
                <w:tab w:val="left" w:pos="220"/>
              </w:tabs>
              <w:rPr>
                <w:rFonts w:cs="Times New Roman"/>
              </w:rPr>
            </w:pPr>
            <w:r>
              <w:rPr>
                <w:rFonts w:cs="Times New Roman"/>
              </w:rPr>
              <w:t>126</w:t>
            </w:r>
          </w:p>
        </w:tc>
        <w:tc>
          <w:tcPr>
            <w:tcW w:w="3131" w:type="dxa"/>
          </w:tcPr>
          <w:p w14:paraId="3A1AFD29">
            <w:pPr>
              <w:tabs>
                <w:tab w:val="left" w:pos="220"/>
              </w:tabs>
              <w:rPr>
                <w:rFonts w:cs="Times New Roman"/>
              </w:rPr>
            </w:pPr>
            <w:r>
              <w:rPr>
                <w:rFonts w:cs="Times New Roman"/>
              </w:rPr>
              <w:t>Prof. Mrs. Bibiana Onyebuchi Anyanwu; B.A (Hons) (Benin); MA (Ilorin); PhD (Ibadan)</w:t>
            </w:r>
          </w:p>
        </w:tc>
        <w:tc>
          <w:tcPr>
            <w:tcW w:w="1549" w:type="dxa"/>
          </w:tcPr>
          <w:p w14:paraId="386EDD05">
            <w:pPr>
              <w:tabs>
                <w:tab w:val="left" w:pos="220"/>
              </w:tabs>
              <w:rPr>
                <w:rFonts w:cs="Times New Roman"/>
              </w:rPr>
            </w:pPr>
            <w:r>
              <w:rPr>
                <w:rFonts w:cs="Times New Roman"/>
              </w:rPr>
              <w:t>English</w:t>
            </w:r>
          </w:p>
        </w:tc>
        <w:tc>
          <w:tcPr>
            <w:tcW w:w="2914" w:type="dxa"/>
          </w:tcPr>
          <w:p w14:paraId="1021DB77">
            <w:pPr>
              <w:tabs>
                <w:tab w:val="left" w:pos="220"/>
              </w:tabs>
              <w:rPr>
                <w:rFonts w:cs="Times New Roman"/>
              </w:rPr>
            </w:pPr>
            <w:r>
              <w:rPr>
                <w:rFonts w:cs="Times New Roman"/>
              </w:rPr>
              <w:t>Linguistic and Its Intellectual Connections</w:t>
            </w:r>
          </w:p>
        </w:tc>
        <w:tc>
          <w:tcPr>
            <w:tcW w:w="1226" w:type="dxa"/>
          </w:tcPr>
          <w:p w14:paraId="7DED251D">
            <w:pPr>
              <w:tabs>
                <w:tab w:val="left" w:pos="220"/>
              </w:tabs>
              <w:rPr>
                <w:rFonts w:cs="Times New Roman"/>
              </w:rPr>
            </w:pPr>
            <w:r>
              <w:rPr>
                <w:rFonts w:cs="Times New Roman"/>
              </w:rPr>
              <w:t>27</w:t>
            </w:r>
            <w:r>
              <w:rPr>
                <w:rFonts w:cs="Times New Roman"/>
                <w:vertAlign w:val="superscript"/>
              </w:rPr>
              <w:t>th</w:t>
            </w:r>
            <w:r>
              <w:rPr>
                <w:rFonts w:cs="Times New Roman"/>
              </w:rPr>
              <w:t xml:space="preserve"> Mar., 2025</w:t>
            </w:r>
          </w:p>
        </w:tc>
      </w:tr>
      <w:tr w14:paraId="74902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13C3D57E">
            <w:pPr>
              <w:tabs>
                <w:tab w:val="left" w:pos="220"/>
              </w:tabs>
              <w:rPr>
                <w:rFonts w:cs="Times New Roman"/>
              </w:rPr>
            </w:pPr>
            <w:r>
              <w:rPr>
                <w:rFonts w:cs="Times New Roman"/>
              </w:rPr>
              <w:t>127</w:t>
            </w:r>
          </w:p>
        </w:tc>
        <w:tc>
          <w:tcPr>
            <w:tcW w:w="3131" w:type="dxa"/>
          </w:tcPr>
          <w:p w14:paraId="5AE20E4D">
            <w:pPr>
              <w:tabs>
                <w:tab w:val="left" w:pos="220"/>
              </w:tabs>
              <w:rPr>
                <w:rFonts w:cs="Times New Roman"/>
              </w:rPr>
            </w:pPr>
            <w:r>
              <w:rPr>
                <w:rFonts w:cs="Times New Roman"/>
              </w:rPr>
              <w:t>Prof. Monday Lewis Igbafen; B.A (Hons); LLB (Hons) (Ekpoma); M.A. (Ibadan); Phd (Ibadan); BL (Abuja); Dip. (journalism); TJI (Lagos)</w:t>
            </w:r>
          </w:p>
        </w:tc>
        <w:tc>
          <w:tcPr>
            <w:tcW w:w="1549" w:type="dxa"/>
          </w:tcPr>
          <w:p w14:paraId="2D4B7D69">
            <w:pPr>
              <w:tabs>
                <w:tab w:val="left" w:pos="220"/>
              </w:tabs>
              <w:rPr>
                <w:rFonts w:cs="Times New Roman"/>
              </w:rPr>
            </w:pPr>
            <w:r>
              <w:rPr>
                <w:rFonts w:cs="Times New Roman"/>
              </w:rPr>
              <w:t>Philosophy</w:t>
            </w:r>
          </w:p>
        </w:tc>
        <w:tc>
          <w:tcPr>
            <w:tcW w:w="2914" w:type="dxa"/>
          </w:tcPr>
          <w:p w14:paraId="4416EC07">
            <w:pPr>
              <w:tabs>
                <w:tab w:val="left" w:pos="220"/>
              </w:tabs>
              <w:rPr>
                <w:rFonts w:cs="Times New Roman"/>
              </w:rPr>
            </w:pPr>
            <w:r>
              <w:rPr>
                <w:rFonts w:cs="Times New Roman"/>
              </w:rPr>
              <w:t>Plato’s “Philosopher King” and the Quest for Political Order in Nigeria</w:t>
            </w:r>
          </w:p>
        </w:tc>
        <w:tc>
          <w:tcPr>
            <w:tcW w:w="1226" w:type="dxa"/>
          </w:tcPr>
          <w:p w14:paraId="3E699BF0">
            <w:pPr>
              <w:tabs>
                <w:tab w:val="left" w:pos="220"/>
              </w:tabs>
              <w:rPr>
                <w:rFonts w:cs="Times New Roman"/>
              </w:rPr>
            </w:pPr>
            <w:r>
              <w:rPr>
                <w:rFonts w:cs="Times New Roman"/>
              </w:rPr>
              <w:t>10</w:t>
            </w:r>
            <w:r>
              <w:rPr>
                <w:rFonts w:cs="Times New Roman"/>
                <w:vertAlign w:val="superscript"/>
              </w:rPr>
              <w:t>th</w:t>
            </w:r>
            <w:r>
              <w:rPr>
                <w:rFonts w:cs="Times New Roman"/>
              </w:rPr>
              <w:t xml:space="preserve"> Apr., 2025</w:t>
            </w:r>
          </w:p>
        </w:tc>
      </w:tr>
      <w:tr w14:paraId="44137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591DD339">
            <w:pPr>
              <w:tabs>
                <w:tab w:val="left" w:pos="220"/>
              </w:tabs>
              <w:rPr>
                <w:rFonts w:cs="Times New Roman"/>
              </w:rPr>
            </w:pPr>
            <w:r>
              <w:rPr>
                <w:rFonts w:cs="Times New Roman"/>
              </w:rPr>
              <w:t>128</w:t>
            </w:r>
          </w:p>
        </w:tc>
        <w:tc>
          <w:tcPr>
            <w:tcW w:w="3131" w:type="dxa"/>
          </w:tcPr>
          <w:p w14:paraId="683D0626">
            <w:pPr>
              <w:tabs>
                <w:tab w:val="left" w:pos="220"/>
              </w:tabs>
              <w:rPr>
                <w:rFonts w:cs="Times New Roman"/>
              </w:rPr>
            </w:pPr>
            <w:r>
              <w:rPr>
                <w:rFonts w:cs="Times New Roman"/>
              </w:rPr>
              <w:t>Prof. Matthew Aziegbemhin Izibili; B.A. (Hons) (Ekpoma); M.A. (Ibadan); PhD (Ekpoma); PGDE (Sokoto); FCAI</w:t>
            </w:r>
          </w:p>
        </w:tc>
        <w:tc>
          <w:tcPr>
            <w:tcW w:w="1549" w:type="dxa"/>
          </w:tcPr>
          <w:p w14:paraId="0821D4D9">
            <w:pPr>
              <w:tabs>
                <w:tab w:val="left" w:pos="220"/>
              </w:tabs>
              <w:rPr>
                <w:rFonts w:cs="Times New Roman"/>
              </w:rPr>
            </w:pPr>
            <w:r>
              <w:rPr>
                <w:rFonts w:cs="Times New Roman"/>
              </w:rPr>
              <w:t>Philosophy</w:t>
            </w:r>
          </w:p>
        </w:tc>
        <w:tc>
          <w:tcPr>
            <w:tcW w:w="2914" w:type="dxa"/>
          </w:tcPr>
          <w:p w14:paraId="14EF31AC">
            <w:pPr>
              <w:tabs>
                <w:tab w:val="left" w:pos="220"/>
              </w:tabs>
              <w:rPr>
                <w:rFonts w:cs="Times New Roman"/>
              </w:rPr>
            </w:pPr>
            <w:r>
              <w:rPr>
                <w:rFonts w:cs="Times New Roman"/>
              </w:rPr>
              <w:t>Philosophy in the Service of Society: The Esan Model of Aihẹbholo-Ọria</w:t>
            </w:r>
          </w:p>
        </w:tc>
        <w:tc>
          <w:tcPr>
            <w:tcW w:w="1226" w:type="dxa"/>
          </w:tcPr>
          <w:p w14:paraId="375146BC">
            <w:pPr>
              <w:tabs>
                <w:tab w:val="left" w:pos="220"/>
              </w:tabs>
              <w:rPr>
                <w:rFonts w:cs="Times New Roman"/>
              </w:rPr>
            </w:pPr>
            <w:r>
              <w:rPr>
                <w:rFonts w:cs="Times New Roman"/>
              </w:rPr>
              <w:t>15</w:t>
            </w:r>
            <w:r>
              <w:rPr>
                <w:rFonts w:cs="Times New Roman"/>
                <w:vertAlign w:val="superscript"/>
              </w:rPr>
              <w:t>th</w:t>
            </w:r>
            <w:r>
              <w:rPr>
                <w:rFonts w:cs="Times New Roman"/>
              </w:rPr>
              <w:t xml:space="preserve"> May, 2025</w:t>
            </w:r>
          </w:p>
        </w:tc>
      </w:tr>
      <w:tr w14:paraId="7851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ABFA45A">
            <w:pPr>
              <w:tabs>
                <w:tab w:val="left" w:pos="220"/>
              </w:tabs>
              <w:rPr>
                <w:rFonts w:cs="Times New Roman"/>
              </w:rPr>
            </w:pPr>
            <w:r>
              <w:rPr>
                <w:rFonts w:cs="Times New Roman"/>
              </w:rPr>
              <w:t>129</w:t>
            </w:r>
          </w:p>
        </w:tc>
        <w:tc>
          <w:tcPr>
            <w:tcW w:w="3131" w:type="dxa"/>
          </w:tcPr>
          <w:p w14:paraId="6510DDCB">
            <w:pPr>
              <w:tabs>
                <w:tab w:val="left" w:pos="220"/>
              </w:tabs>
              <w:rPr>
                <w:rFonts w:cs="Times New Roman"/>
              </w:rPr>
            </w:pPr>
            <w:r>
              <w:rPr>
                <w:rFonts w:cs="Times New Roman"/>
              </w:rPr>
              <w:t>Prof. Alex Payim Igbe; MBBS (Nsukka); FWACP (Nsukka); Cert. Mgt. Devpt (nsukka)</w:t>
            </w:r>
          </w:p>
        </w:tc>
        <w:tc>
          <w:tcPr>
            <w:tcW w:w="1549" w:type="dxa"/>
          </w:tcPr>
          <w:p w14:paraId="5319B16D">
            <w:pPr>
              <w:tabs>
                <w:tab w:val="left" w:pos="220"/>
              </w:tabs>
              <w:rPr>
                <w:rFonts w:cs="Times New Roman"/>
              </w:rPr>
            </w:pPr>
            <w:r>
              <w:rPr>
                <w:rFonts w:cs="Times New Roman"/>
              </w:rPr>
              <w:t>Pathology</w:t>
            </w:r>
          </w:p>
        </w:tc>
        <w:tc>
          <w:tcPr>
            <w:tcW w:w="2914" w:type="dxa"/>
          </w:tcPr>
          <w:p w14:paraId="1BB88608">
            <w:pPr>
              <w:tabs>
                <w:tab w:val="left" w:pos="220"/>
              </w:tabs>
              <w:rPr>
                <w:rFonts w:cs="Times New Roman"/>
              </w:rPr>
            </w:pPr>
            <w:r>
              <w:rPr>
                <w:rFonts w:cs="Times New Roman"/>
              </w:rPr>
              <w:t>Pathology: “…That They Might Have Life and …Have it More Abundantly”</w:t>
            </w:r>
          </w:p>
        </w:tc>
        <w:tc>
          <w:tcPr>
            <w:tcW w:w="1226" w:type="dxa"/>
          </w:tcPr>
          <w:p w14:paraId="10FA95CF">
            <w:pPr>
              <w:tabs>
                <w:tab w:val="left" w:pos="220"/>
              </w:tabs>
              <w:rPr>
                <w:rFonts w:cs="Times New Roman"/>
              </w:rPr>
            </w:pPr>
            <w:r>
              <w:rPr>
                <w:rFonts w:cs="Times New Roman"/>
              </w:rPr>
              <w:t>29</w:t>
            </w:r>
            <w:r>
              <w:rPr>
                <w:rFonts w:cs="Times New Roman"/>
                <w:vertAlign w:val="superscript"/>
              </w:rPr>
              <w:t>th</w:t>
            </w:r>
            <w:r>
              <w:rPr>
                <w:rFonts w:cs="Times New Roman"/>
              </w:rPr>
              <w:t xml:space="preserve"> May, 2025</w:t>
            </w:r>
          </w:p>
        </w:tc>
      </w:tr>
      <w:tr w14:paraId="0ABEB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87743BD">
            <w:pPr>
              <w:tabs>
                <w:tab w:val="left" w:pos="220"/>
              </w:tabs>
              <w:rPr>
                <w:rFonts w:cs="Times New Roman"/>
              </w:rPr>
            </w:pPr>
            <w:r>
              <w:rPr>
                <w:rFonts w:cs="Times New Roman"/>
              </w:rPr>
              <w:t>130</w:t>
            </w:r>
          </w:p>
        </w:tc>
        <w:tc>
          <w:tcPr>
            <w:tcW w:w="3131" w:type="dxa"/>
          </w:tcPr>
          <w:p w14:paraId="126EA55F">
            <w:pPr>
              <w:tabs>
                <w:tab w:val="left" w:pos="220"/>
              </w:tabs>
              <w:rPr>
                <w:rFonts w:cs="Times New Roman"/>
              </w:rPr>
            </w:pPr>
            <w:r>
              <w:rPr>
                <w:rFonts w:cs="Times New Roman"/>
              </w:rPr>
              <w:t>Prof. Gladys Otasowie Igene; B.Agric (Ekpoma); M.Sc (Ibadan); PhD (Ekpoma)</w:t>
            </w:r>
          </w:p>
        </w:tc>
        <w:tc>
          <w:tcPr>
            <w:tcW w:w="1549" w:type="dxa"/>
          </w:tcPr>
          <w:p w14:paraId="39CADCCB">
            <w:pPr>
              <w:tabs>
                <w:tab w:val="left" w:pos="220"/>
              </w:tabs>
              <w:rPr>
                <w:rFonts w:cs="Times New Roman"/>
              </w:rPr>
            </w:pPr>
            <w:r>
              <w:rPr>
                <w:rFonts w:cs="Times New Roman"/>
              </w:rPr>
              <w:t xml:space="preserve">Agricultural Economics </w:t>
            </w:r>
          </w:p>
        </w:tc>
        <w:tc>
          <w:tcPr>
            <w:tcW w:w="2914" w:type="dxa"/>
          </w:tcPr>
          <w:p w14:paraId="368522D3">
            <w:pPr>
              <w:tabs>
                <w:tab w:val="left" w:pos="220"/>
              </w:tabs>
              <w:rPr>
                <w:rFonts w:cs="Times New Roman"/>
              </w:rPr>
            </w:pPr>
            <w:r>
              <w:rPr>
                <w:rFonts w:cs="Times New Roman"/>
              </w:rPr>
              <w:t>Food and Nutrition Security Quagmire: What Alternative Do we Have?</w:t>
            </w:r>
          </w:p>
        </w:tc>
        <w:tc>
          <w:tcPr>
            <w:tcW w:w="1226" w:type="dxa"/>
          </w:tcPr>
          <w:p w14:paraId="2C95D2A5">
            <w:pPr>
              <w:tabs>
                <w:tab w:val="left" w:pos="220"/>
              </w:tabs>
              <w:rPr>
                <w:rFonts w:cs="Times New Roman"/>
              </w:rPr>
            </w:pPr>
            <w:r>
              <w:rPr>
                <w:rFonts w:cs="Times New Roman"/>
              </w:rPr>
              <w:t>26</w:t>
            </w:r>
            <w:r>
              <w:rPr>
                <w:rFonts w:cs="Times New Roman"/>
                <w:vertAlign w:val="superscript"/>
              </w:rPr>
              <w:t>th</w:t>
            </w:r>
            <w:r>
              <w:rPr>
                <w:rFonts w:cs="Times New Roman"/>
              </w:rPr>
              <w:t xml:space="preserve"> Jun., 2025</w:t>
            </w:r>
          </w:p>
        </w:tc>
      </w:tr>
      <w:tr w14:paraId="414EA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526CAB96">
            <w:pPr>
              <w:tabs>
                <w:tab w:val="left" w:pos="220"/>
              </w:tabs>
              <w:rPr>
                <w:rFonts w:cs="Times New Roman"/>
              </w:rPr>
            </w:pPr>
            <w:r>
              <w:rPr>
                <w:rFonts w:cs="Times New Roman"/>
              </w:rPr>
              <w:t>131</w:t>
            </w:r>
          </w:p>
        </w:tc>
        <w:tc>
          <w:tcPr>
            <w:tcW w:w="3131" w:type="dxa"/>
          </w:tcPr>
          <w:p w14:paraId="2DFF6878">
            <w:pPr>
              <w:tabs>
                <w:tab w:val="left" w:pos="220"/>
              </w:tabs>
              <w:rPr>
                <w:rFonts w:cs="Times New Roman"/>
              </w:rPr>
            </w:pPr>
            <w:r>
              <w:rPr>
                <w:rFonts w:cs="Times New Roman"/>
              </w:rPr>
              <w:t>Prof. Hanson Osadiayo Taiwo Iyawe, FNSN; B.Sc (Benin); M.Sc (Uniben); PhD (AAUE)</w:t>
            </w:r>
          </w:p>
        </w:tc>
        <w:tc>
          <w:tcPr>
            <w:tcW w:w="1549" w:type="dxa"/>
          </w:tcPr>
          <w:p w14:paraId="3A57884E">
            <w:pPr>
              <w:tabs>
                <w:tab w:val="left" w:pos="220"/>
              </w:tabs>
              <w:rPr>
                <w:rFonts w:cs="Times New Roman"/>
              </w:rPr>
            </w:pPr>
            <w:r>
              <w:rPr>
                <w:rFonts w:cs="Times New Roman"/>
              </w:rPr>
              <w:t>Bio-Chemistry</w:t>
            </w:r>
          </w:p>
        </w:tc>
        <w:tc>
          <w:tcPr>
            <w:tcW w:w="2914" w:type="dxa"/>
          </w:tcPr>
          <w:p w14:paraId="4B14E177">
            <w:pPr>
              <w:tabs>
                <w:tab w:val="left" w:pos="220"/>
              </w:tabs>
              <w:rPr>
                <w:rFonts w:cs="Times New Roman"/>
              </w:rPr>
            </w:pPr>
            <w:r>
              <w:rPr>
                <w:rFonts w:cs="Times New Roman"/>
              </w:rPr>
              <w:t>Excavating Latent Realities in the Campaign Against Oxidative Stress (75pp)</w:t>
            </w:r>
          </w:p>
        </w:tc>
        <w:tc>
          <w:tcPr>
            <w:tcW w:w="1226" w:type="dxa"/>
          </w:tcPr>
          <w:p w14:paraId="7B1A76DB">
            <w:pPr>
              <w:tabs>
                <w:tab w:val="left" w:pos="220"/>
              </w:tabs>
              <w:rPr>
                <w:rFonts w:cs="Times New Roman"/>
              </w:rPr>
            </w:pPr>
            <w:r>
              <w:rPr>
                <w:rFonts w:cs="Times New Roman"/>
              </w:rPr>
              <w:t>17</w:t>
            </w:r>
            <w:r>
              <w:rPr>
                <w:rFonts w:cs="Times New Roman"/>
                <w:vertAlign w:val="superscript"/>
              </w:rPr>
              <w:t>th</w:t>
            </w:r>
            <w:r>
              <w:rPr>
                <w:rFonts w:cs="Times New Roman"/>
              </w:rPr>
              <w:t xml:space="preserve"> Jul., 2025</w:t>
            </w:r>
          </w:p>
        </w:tc>
      </w:tr>
      <w:tr w14:paraId="0D83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0266416B">
            <w:pPr>
              <w:tabs>
                <w:tab w:val="left" w:pos="220"/>
              </w:tabs>
              <w:rPr>
                <w:rFonts w:cs="Times New Roman"/>
              </w:rPr>
            </w:pPr>
            <w:r>
              <w:rPr>
                <w:rFonts w:cs="Times New Roman"/>
              </w:rPr>
              <w:t>132</w:t>
            </w:r>
          </w:p>
        </w:tc>
        <w:tc>
          <w:tcPr>
            <w:tcW w:w="3131" w:type="dxa"/>
          </w:tcPr>
          <w:p w14:paraId="27E844E5">
            <w:pPr>
              <w:tabs>
                <w:tab w:val="left" w:pos="220"/>
              </w:tabs>
              <w:rPr>
                <w:rFonts w:cs="Times New Roman"/>
              </w:rPr>
            </w:pPr>
            <w:r>
              <w:rPr>
                <w:rFonts w:cs="Times New Roman"/>
              </w:rPr>
              <w:t>Prof. Matthew Osimen Ighalo; NCE; B.Ed; M.FA (Benin); PhD (Abraka)</w:t>
            </w:r>
          </w:p>
        </w:tc>
        <w:tc>
          <w:tcPr>
            <w:tcW w:w="1549" w:type="dxa"/>
          </w:tcPr>
          <w:p w14:paraId="14A7C051">
            <w:pPr>
              <w:tabs>
                <w:tab w:val="left" w:pos="220"/>
              </w:tabs>
              <w:rPr>
                <w:rFonts w:cs="Times New Roman"/>
              </w:rPr>
            </w:pPr>
            <w:r>
              <w:rPr>
                <w:rFonts w:cs="Times New Roman"/>
              </w:rPr>
              <w:t>Graphics and Arts History</w:t>
            </w:r>
          </w:p>
        </w:tc>
        <w:tc>
          <w:tcPr>
            <w:tcW w:w="2914" w:type="dxa"/>
          </w:tcPr>
          <w:p w14:paraId="0289939C">
            <w:pPr>
              <w:tabs>
                <w:tab w:val="left" w:pos="220"/>
              </w:tabs>
              <w:rPr>
                <w:rFonts w:cs="Times New Roman"/>
              </w:rPr>
            </w:pPr>
            <w:r>
              <w:rPr>
                <w:rFonts w:cs="Times New Roman"/>
              </w:rPr>
              <w:t>Tradition and Contemporaneity: Graphics through the Lens of Esan Culture (75pp)</w:t>
            </w:r>
          </w:p>
        </w:tc>
        <w:tc>
          <w:tcPr>
            <w:tcW w:w="1226" w:type="dxa"/>
          </w:tcPr>
          <w:p w14:paraId="72F07347">
            <w:pPr>
              <w:tabs>
                <w:tab w:val="left" w:pos="220"/>
              </w:tabs>
              <w:rPr>
                <w:rFonts w:cs="Times New Roman"/>
              </w:rPr>
            </w:pPr>
            <w:r>
              <w:rPr>
                <w:rFonts w:cs="Times New Roman"/>
              </w:rPr>
              <w:t>31</w:t>
            </w:r>
            <w:r>
              <w:rPr>
                <w:rFonts w:cs="Times New Roman"/>
                <w:vertAlign w:val="superscript"/>
              </w:rPr>
              <w:t>st</w:t>
            </w:r>
            <w:r>
              <w:rPr>
                <w:rFonts w:cs="Times New Roman"/>
              </w:rPr>
              <w:t xml:space="preserve"> Jul., 2025</w:t>
            </w:r>
          </w:p>
        </w:tc>
      </w:tr>
      <w:tr w14:paraId="2FDF5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0408F432">
            <w:pPr>
              <w:tabs>
                <w:tab w:val="left" w:pos="220"/>
              </w:tabs>
              <w:rPr>
                <w:rFonts w:cs="Times New Roman"/>
              </w:rPr>
            </w:pPr>
            <w:r>
              <w:rPr>
                <w:rFonts w:cs="Times New Roman"/>
              </w:rPr>
              <w:t>133</w:t>
            </w:r>
          </w:p>
        </w:tc>
        <w:tc>
          <w:tcPr>
            <w:tcW w:w="3131" w:type="dxa"/>
          </w:tcPr>
          <w:p w14:paraId="668CE659">
            <w:pPr>
              <w:tabs>
                <w:tab w:val="left" w:pos="220"/>
              </w:tabs>
              <w:rPr>
                <w:rFonts w:cs="Times New Roman"/>
              </w:rPr>
            </w:pPr>
            <w:r>
              <w:rPr>
                <w:rFonts w:cs="Times New Roman"/>
              </w:rPr>
              <w:t>Prof. Babatunde Olusegun Agara; B.A (Ife); MPA (Ife); M.Sc (Benin); PhD (Benin)</w:t>
            </w:r>
          </w:p>
        </w:tc>
        <w:tc>
          <w:tcPr>
            <w:tcW w:w="1549" w:type="dxa"/>
          </w:tcPr>
          <w:p w14:paraId="466DC969">
            <w:pPr>
              <w:tabs>
                <w:tab w:val="left" w:pos="220"/>
              </w:tabs>
              <w:rPr>
                <w:rFonts w:cs="Times New Roman"/>
              </w:rPr>
            </w:pPr>
            <w:r>
              <w:rPr>
                <w:rFonts w:cs="Times New Roman"/>
              </w:rPr>
              <w:t>Comparative Politics and Strategic Studies</w:t>
            </w:r>
          </w:p>
        </w:tc>
        <w:tc>
          <w:tcPr>
            <w:tcW w:w="2914" w:type="dxa"/>
          </w:tcPr>
          <w:p w14:paraId="7CD49C41">
            <w:pPr>
              <w:tabs>
                <w:tab w:val="left" w:pos="220"/>
              </w:tabs>
              <w:rPr>
                <w:rFonts w:cs="Times New Roman"/>
              </w:rPr>
            </w:pPr>
            <w:r>
              <w:rPr>
                <w:rFonts w:cs="Times New Roman"/>
              </w:rPr>
              <w:t>The Nigerian State: a Country without Country men</w:t>
            </w:r>
          </w:p>
        </w:tc>
        <w:tc>
          <w:tcPr>
            <w:tcW w:w="1226" w:type="dxa"/>
          </w:tcPr>
          <w:p w14:paraId="037B6506">
            <w:pPr>
              <w:tabs>
                <w:tab w:val="left" w:pos="220"/>
              </w:tabs>
              <w:rPr>
                <w:rFonts w:cs="Times New Roman"/>
              </w:rPr>
            </w:pPr>
            <w:r>
              <w:rPr>
                <w:rFonts w:cs="Times New Roman"/>
              </w:rPr>
              <w:t>14</w:t>
            </w:r>
            <w:r>
              <w:rPr>
                <w:rFonts w:cs="Times New Roman"/>
                <w:vertAlign w:val="superscript"/>
              </w:rPr>
              <w:t>th</w:t>
            </w:r>
            <w:r>
              <w:rPr>
                <w:rFonts w:cs="Times New Roman"/>
              </w:rPr>
              <w:t xml:space="preserve"> Aug., 2025</w:t>
            </w:r>
          </w:p>
        </w:tc>
      </w:tr>
      <w:tr w14:paraId="5160D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5" w:type="dxa"/>
          </w:tcPr>
          <w:p w14:paraId="253155D7">
            <w:pPr>
              <w:tabs>
                <w:tab w:val="left" w:pos="220"/>
              </w:tabs>
              <w:rPr>
                <w:rFonts w:cs="Times New Roman"/>
              </w:rPr>
            </w:pPr>
            <w:r>
              <w:rPr>
                <w:rFonts w:cs="Times New Roman"/>
              </w:rPr>
              <w:t>134</w:t>
            </w:r>
          </w:p>
        </w:tc>
        <w:tc>
          <w:tcPr>
            <w:tcW w:w="3131" w:type="dxa"/>
          </w:tcPr>
          <w:p w14:paraId="70B6F198">
            <w:pPr>
              <w:tabs>
                <w:tab w:val="left" w:pos="220"/>
              </w:tabs>
              <w:rPr>
                <w:rFonts w:cs="Times New Roman"/>
              </w:rPr>
            </w:pPr>
            <w:r>
              <w:rPr>
                <w:rFonts w:cs="Times New Roman"/>
              </w:rPr>
              <w:t>Prof. Emmanuel Eghe Egbon; NCE; B.Sc (Ed); M.Sc (Uniben); PhD (AAUE)</w:t>
            </w:r>
          </w:p>
        </w:tc>
        <w:tc>
          <w:tcPr>
            <w:tcW w:w="1549" w:type="dxa"/>
          </w:tcPr>
          <w:p w14:paraId="355F41EA">
            <w:pPr>
              <w:tabs>
                <w:tab w:val="left" w:pos="220"/>
              </w:tabs>
              <w:rPr>
                <w:rFonts w:cs="Times New Roman"/>
              </w:rPr>
            </w:pPr>
            <w:r>
              <w:rPr>
                <w:rFonts w:cs="Times New Roman"/>
              </w:rPr>
              <w:t>Analytical and Environmental Chemistry</w:t>
            </w:r>
          </w:p>
        </w:tc>
        <w:tc>
          <w:tcPr>
            <w:tcW w:w="2914" w:type="dxa"/>
          </w:tcPr>
          <w:p w14:paraId="227084DA">
            <w:pPr>
              <w:tabs>
                <w:tab w:val="left" w:pos="220"/>
              </w:tabs>
              <w:rPr>
                <w:rFonts w:cs="Times New Roman"/>
              </w:rPr>
            </w:pPr>
            <w:r>
              <w:rPr>
                <w:rFonts w:cs="Times New Roman"/>
              </w:rPr>
              <w:t>Drinking and Eating with Clay Vessels, Renewed Hope: Dynamics of Multi Functional Earth Material (57pp)</w:t>
            </w:r>
          </w:p>
        </w:tc>
        <w:tc>
          <w:tcPr>
            <w:tcW w:w="1226" w:type="dxa"/>
          </w:tcPr>
          <w:p w14:paraId="51A566AD">
            <w:pPr>
              <w:tabs>
                <w:tab w:val="left" w:pos="220"/>
              </w:tabs>
              <w:rPr>
                <w:rFonts w:cs="Times New Roman"/>
              </w:rPr>
            </w:pPr>
            <w:r>
              <w:rPr>
                <w:rFonts w:cs="Times New Roman"/>
              </w:rPr>
              <w:t>28</w:t>
            </w:r>
            <w:r>
              <w:rPr>
                <w:rFonts w:cs="Times New Roman"/>
                <w:vertAlign w:val="superscript"/>
              </w:rPr>
              <w:t>th</w:t>
            </w:r>
            <w:r>
              <w:rPr>
                <w:rFonts w:cs="Times New Roman"/>
              </w:rPr>
              <w:t xml:space="preserve"> Aug., 2025</w:t>
            </w:r>
          </w:p>
        </w:tc>
      </w:tr>
      <w:tr w14:paraId="3C5C7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0C6FE2BB">
            <w:pPr>
              <w:tabs>
                <w:tab w:val="left" w:pos="220"/>
              </w:tabs>
              <w:rPr>
                <w:rFonts w:cs="Times New Roman"/>
              </w:rPr>
            </w:pPr>
            <w:r>
              <w:rPr>
                <w:rFonts w:cs="Times New Roman"/>
              </w:rPr>
              <w:t>135</w:t>
            </w:r>
          </w:p>
        </w:tc>
        <w:tc>
          <w:tcPr>
            <w:tcW w:w="3131" w:type="dxa"/>
          </w:tcPr>
          <w:p w14:paraId="3B59DF19">
            <w:pPr>
              <w:tabs>
                <w:tab w:val="left" w:pos="220"/>
              </w:tabs>
              <w:rPr>
                <w:rFonts w:cs="Times New Roman"/>
              </w:rPr>
            </w:pPr>
            <w:r>
              <w:rPr>
                <w:rFonts w:cs="Times New Roman"/>
              </w:rPr>
              <w:t>Prof. Benedict Imimole; B.Sc (Ed); M.Sc; PhD (Ekpoma); PGD Computer Science (Ekpoma); MNES</w:t>
            </w:r>
          </w:p>
        </w:tc>
        <w:tc>
          <w:tcPr>
            <w:tcW w:w="1549" w:type="dxa"/>
          </w:tcPr>
          <w:p w14:paraId="01D0A0A5">
            <w:pPr>
              <w:tabs>
                <w:tab w:val="left" w:pos="220"/>
              </w:tabs>
              <w:rPr>
                <w:rFonts w:cs="Times New Roman"/>
              </w:rPr>
            </w:pPr>
            <w:r>
              <w:rPr>
                <w:rFonts w:cs="Times New Roman"/>
              </w:rPr>
              <w:t>Economics</w:t>
            </w:r>
          </w:p>
        </w:tc>
        <w:tc>
          <w:tcPr>
            <w:tcW w:w="2914" w:type="dxa"/>
          </w:tcPr>
          <w:p w14:paraId="3BAF9642">
            <w:pPr>
              <w:tabs>
                <w:tab w:val="left" w:pos="220"/>
              </w:tabs>
              <w:rPr>
                <w:rFonts w:cs="Times New Roman"/>
              </w:rPr>
            </w:pPr>
            <w:r>
              <w:rPr>
                <w:rFonts w:cs="Times New Roman"/>
              </w:rPr>
              <w:t>Demystifying Exchange Rate Policy Puzzle in the Nigerian State: a Panacea for Economic Crisis Management (64pp)</w:t>
            </w:r>
          </w:p>
        </w:tc>
        <w:tc>
          <w:tcPr>
            <w:tcW w:w="1226" w:type="dxa"/>
          </w:tcPr>
          <w:p w14:paraId="5A244449">
            <w:pPr>
              <w:tabs>
                <w:tab w:val="left" w:pos="220"/>
              </w:tabs>
              <w:rPr>
                <w:rFonts w:cs="Times New Roman"/>
              </w:rPr>
            </w:pPr>
            <w:r>
              <w:rPr>
                <w:rFonts w:cs="Times New Roman"/>
              </w:rPr>
              <w:t>11</w:t>
            </w:r>
            <w:r>
              <w:rPr>
                <w:rFonts w:cs="Times New Roman"/>
                <w:vertAlign w:val="superscript"/>
              </w:rPr>
              <w:t>th</w:t>
            </w:r>
            <w:r>
              <w:rPr>
                <w:rFonts w:cs="Times New Roman"/>
              </w:rPr>
              <w:t xml:space="preserve"> Sep., 2025</w:t>
            </w:r>
          </w:p>
        </w:tc>
      </w:tr>
      <w:tr w14:paraId="0AAC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2E706EA">
            <w:pPr>
              <w:tabs>
                <w:tab w:val="left" w:pos="220"/>
              </w:tabs>
              <w:rPr>
                <w:rFonts w:cs="Times New Roman"/>
              </w:rPr>
            </w:pPr>
            <w:r>
              <w:rPr>
                <w:rFonts w:cs="Times New Roman"/>
              </w:rPr>
              <w:t>136</w:t>
            </w:r>
          </w:p>
        </w:tc>
        <w:tc>
          <w:tcPr>
            <w:tcW w:w="3131" w:type="dxa"/>
          </w:tcPr>
          <w:p w14:paraId="34011208">
            <w:pPr>
              <w:tabs>
                <w:tab w:val="left" w:pos="220"/>
              </w:tabs>
              <w:rPr>
                <w:rFonts w:cs="Times New Roman"/>
              </w:rPr>
            </w:pPr>
            <w:r>
              <w:rPr>
                <w:rFonts w:cs="Times New Roman"/>
              </w:rPr>
              <w:t>Prof. Lawrence Nosa Edosomwan; B.Sc (Hons); M.Sc; PhD (Ibadan)</w:t>
            </w:r>
          </w:p>
        </w:tc>
        <w:tc>
          <w:tcPr>
            <w:tcW w:w="1549" w:type="dxa"/>
          </w:tcPr>
          <w:p w14:paraId="281D7A46">
            <w:pPr>
              <w:tabs>
                <w:tab w:val="left" w:pos="220"/>
              </w:tabs>
              <w:rPr>
                <w:rFonts w:cs="Times New Roman"/>
              </w:rPr>
            </w:pPr>
            <w:r>
              <w:rPr>
                <w:rFonts w:cs="Times New Roman"/>
              </w:rPr>
              <w:t>Soil Survey</w:t>
            </w:r>
          </w:p>
        </w:tc>
        <w:tc>
          <w:tcPr>
            <w:tcW w:w="2914" w:type="dxa"/>
          </w:tcPr>
          <w:p w14:paraId="0DE8A035">
            <w:pPr>
              <w:tabs>
                <w:tab w:val="left" w:pos="220"/>
              </w:tabs>
              <w:rPr>
                <w:rFonts w:cs="Times New Roman"/>
              </w:rPr>
            </w:pPr>
            <w:r>
              <w:rPr>
                <w:rFonts w:cs="Times New Roman"/>
              </w:rPr>
              <w:t>Alleviating Environmental Issues for Sustainable Agriculture: The Soil Survivor’s Contribution</w:t>
            </w:r>
          </w:p>
        </w:tc>
        <w:tc>
          <w:tcPr>
            <w:tcW w:w="1226" w:type="dxa"/>
          </w:tcPr>
          <w:p w14:paraId="3056BD63">
            <w:pPr>
              <w:tabs>
                <w:tab w:val="left" w:pos="220"/>
              </w:tabs>
              <w:rPr>
                <w:rFonts w:cs="Times New Roman"/>
              </w:rPr>
            </w:pPr>
            <w:r>
              <w:rPr>
                <w:rFonts w:cs="Times New Roman"/>
              </w:rPr>
              <w:t>25</w:t>
            </w:r>
            <w:r>
              <w:rPr>
                <w:rFonts w:cs="Times New Roman"/>
                <w:vertAlign w:val="superscript"/>
              </w:rPr>
              <w:t>th</w:t>
            </w:r>
            <w:r>
              <w:rPr>
                <w:rFonts w:cs="Times New Roman"/>
              </w:rPr>
              <w:t xml:space="preserve"> Sep., 2025</w:t>
            </w:r>
          </w:p>
        </w:tc>
      </w:tr>
      <w:tr w14:paraId="2C43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10C3896B">
            <w:pPr>
              <w:tabs>
                <w:tab w:val="left" w:pos="220"/>
              </w:tabs>
              <w:rPr>
                <w:rFonts w:cs="Times New Roman"/>
              </w:rPr>
            </w:pPr>
            <w:r>
              <w:rPr>
                <w:rFonts w:cs="Times New Roman"/>
              </w:rPr>
              <w:t>137</w:t>
            </w:r>
          </w:p>
        </w:tc>
        <w:tc>
          <w:tcPr>
            <w:tcW w:w="3131" w:type="dxa"/>
          </w:tcPr>
          <w:p w14:paraId="387B7762">
            <w:pPr>
              <w:tabs>
                <w:tab w:val="left" w:pos="220"/>
              </w:tabs>
              <w:rPr>
                <w:rFonts w:cs="Times New Roman"/>
              </w:rPr>
            </w:pPr>
            <w:r>
              <w:rPr>
                <w:rFonts w:cs="Times New Roman"/>
              </w:rPr>
              <w:t>Prof. Justina Efe Afen-Akpaida; NCE (Benin); BA. Ed (Abraka); M.Ed (Benin); PhD (Ekpoma)</w:t>
            </w:r>
          </w:p>
        </w:tc>
        <w:tc>
          <w:tcPr>
            <w:tcW w:w="1549" w:type="dxa"/>
          </w:tcPr>
          <w:p w14:paraId="739FB634">
            <w:pPr>
              <w:tabs>
                <w:tab w:val="left" w:pos="220"/>
              </w:tabs>
              <w:rPr>
                <w:rFonts w:cs="Times New Roman"/>
              </w:rPr>
            </w:pPr>
            <w:r>
              <w:rPr>
                <w:rFonts w:cs="Times New Roman"/>
              </w:rPr>
              <w:t>Counselling Psychology</w:t>
            </w:r>
          </w:p>
        </w:tc>
        <w:tc>
          <w:tcPr>
            <w:tcW w:w="2914" w:type="dxa"/>
          </w:tcPr>
          <w:p w14:paraId="511DCD4B">
            <w:pPr>
              <w:tabs>
                <w:tab w:val="left" w:pos="220"/>
              </w:tabs>
              <w:rPr>
                <w:rFonts w:cs="Times New Roman"/>
              </w:rPr>
            </w:pPr>
            <w:r>
              <w:rPr>
                <w:rFonts w:cs="Times New Roman"/>
              </w:rPr>
              <w:t>Navigating Life Challenges: The Essential Role of the Counselling Psychologist in Supporting Mental Health and Well-Being</w:t>
            </w:r>
          </w:p>
        </w:tc>
        <w:tc>
          <w:tcPr>
            <w:tcW w:w="1226" w:type="dxa"/>
          </w:tcPr>
          <w:p w14:paraId="7F599F5E">
            <w:pPr>
              <w:tabs>
                <w:tab w:val="left" w:pos="220"/>
              </w:tabs>
              <w:rPr>
                <w:rFonts w:cs="Times New Roman"/>
              </w:rPr>
            </w:pPr>
            <w:r>
              <w:rPr>
                <w:rFonts w:cs="Times New Roman"/>
              </w:rPr>
              <w:t>30</w:t>
            </w:r>
            <w:r>
              <w:rPr>
                <w:rFonts w:cs="Times New Roman"/>
                <w:vertAlign w:val="superscript"/>
              </w:rPr>
              <w:t>th</w:t>
            </w:r>
            <w:r>
              <w:rPr>
                <w:rFonts w:cs="Times New Roman"/>
              </w:rPr>
              <w:t xml:space="preserve"> Sep., 2025</w:t>
            </w:r>
          </w:p>
        </w:tc>
      </w:tr>
      <w:tr w14:paraId="620A1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10D4DFE">
            <w:pPr>
              <w:tabs>
                <w:tab w:val="left" w:pos="220"/>
              </w:tabs>
              <w:rPr>
                <w:rFonts w:cs="Times New Roman"/>
              </w:rPr>
            </w:pPr>
            <w:r>
              <w:rPr>
                <w:rFonts w:cs="Times New Roman"/>
              </w:rPr>
              <w:t>138</w:t>
            </w:r>
          </w:p>
        </w:tc>
        <w:tc>
          <w:tcPr>
            <w:tcW w:w="3131" w:type="dxa"/>
          </w:tcPr>
          <w:p w14:paraId="3675E523">
            <w:pPr>
              <w:tabs>
                <w:tab w:val="left" w:pos="220"/>
              </w:tabs>
              <w:rPr>
                <w:rFonts w:cs="Times New Roman"/>
              </w:rPr>
            </w:pPr>
            <w:r>
              <w:rPr>
                <w:rFonts w:cs="Times New Roman"/>
              </w:rPr>
              <w:t>Prof. Arc. Prof. Alfred D. Oloruntoba Obabori; B.Sc; M.Sc; ARCH (Jos); PhD (Ekpoma)</w:t>
            </w:r>
          </w:p>
        </w:tc>
        <w:tc>
          <w:tcPr>
            <w:tcW w:w="1549" w:type="dxa"/>
          </w:tcPr>
          <w:p w14:paraId="63E43DB7">
            <w:pPr>
              <w:tabs>
                <w:tab w:val="left" w:pos="220"/>
              </w:tabs>
              <w:rPr>
                <w:rFonts w:cs="Times New Roman"/>
              </w:rPr>
            </w:pPr>
            <w:r>
              <w:rPr>
                <w:rFonts w:cs="Times New Roman"/>
              </w:rPr>
              <w:t>Architecture</w:t>
            </w:r>
          </w:p>
        </w:tc>
        <w:tc>
          <w:tcPr>
            <w:tcW w:w="2914" w:type="dxa"/>
          </w:tcPr>
          <w:p w14:paraId="462072B1">
            <w:pPr>
              <w:tabs>
                <w:tab w:val="left" w:pos="220"/>
              </w:tabs>
              <w:rPr>
                <w:rFonts w:cs="Times New Roman"/>
              </w:rPr>
            </w:pPr>
            <w:r>
              <w:rPr>
                <w:rFonts w:cs="Times New Roman"/>
              </w:rPr>
              <w:t>The Synergy Between Architecture and Town Planning: The Captivating Nexus</w:t>
            </w:r>
          </w:p>
        </w:tc>
        <w:tc>
          <w:tcPr>
            <w:tcW w:w="1226" w:type="dxa"/>
          </w:tcPr>
          <w:p w14:paraId="65DCC8A4">
            <w:pPr>
              <w:tabs>
                <w:tab w:val="left" w:pos="220"/>
              </w:tabs>
              <w:rPr>
                <w:rFonts w:cs="Times New Roman"/>
              </w:rPr>
            </w:pPr>
            <w:r>
              <w:rPr>
                <w:rFonts w:cs="Times New Roman"/>
              </w:rPr>
              <w:t>27</w:t>
            </w:r>
            <w:r>
              <w:rPr>
                <w:rFonts w:cs="Times New Roman"/>
                <w:vertAlign w:val="superscript"/>
              </w:rPr>
              <w:t>th</w:t>
            </w:r>
            <w:r>
              <w:rPr>
                <w:rFonts w:cs="Times New Roman"/>
              </w:rPr>
              <w:t xml:space="preserve"> Nov., 2025</w:t>
            </w:r>
          </w:p>
        </w:tc>
      </w:tr>
      <w:tr w14:paraId="5034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8C79154">
            <w:pPr>
              <w:tabs>
                <w:tab w:val="left" w:pos="220"/>
              </w:tabs>
              <w:rPr>
                <w:rFonts w:cs="Times New Roman"/>
              </w:rPr>
            </w:pPr>
            <w:r>
              <w:rPr>
                <w:rFonts w:cs="Times New Roman"/>
              </w:rPr>
              <w:t>139</w:t>
            </w:r>
          </w:p>
        </w:tc>
        <w:tc>
          <w:tcPr>
            <w:tcW w:w="3131" w:type="dxa"/>
          </w:tcPr>
          <w:p w14:paraId="5B1F0A3F">
            <w:pPr>
              <w:tabs>
                <w:tab w:val="left" w:pos="220"/>
              </w:tabs>
              <w:rPr>
                <w:rFonts w:cs="Times New Roman"/>
              </w:rPr>
            </w:pPr>
            <w:r>
              <w:rPr>
                <w:rFonts w:cs="Times New Roman"/>
              </w:rPr>
              <w:t>Prof. Justina Ajegbelen Adavbiele; NCE TECH (Auchi); B.Sc TECH. ED (Benin); M.ED. IND. TECH (Nsukka); PhD (Ekpoma)</w:t>
            </w:r>
          </w:p>
        </w:tc>
        <w:tc>
          <w:tcPr>
            <w:tcW w:w="1549" w:type="dxa"/>
          </w:tcPr>
          <w:p w14:paraId="50D8FEB5">
            <w:pPr>
              <w:tabs>
                <w:tab w:val="left" w:pos="220"/>
              </w:tabs>
              <w:rPr>
                <w:rFonts w:cs="Times New Roman"/>
              </w:rPr>
            </w:pPr>
            <w:r>
              <w:rPr>
                <w:rFonts w:cs="Times New Roman"/>
              </w:rPr>
              <w:t>Technical Education (Building Technology)</w:t>
            </w:r>
          </w:p>
        </w:tc>
        <w:tc>
          <w:tcPr>
            <w:tcW w:w="2914" w:type="dxa"/>
          </w:tcPr>
          <w:p w14:paraId="2FB04E35">
            <w:pPr>
              <w:tabs>
                <w:tab w:val="left" w:pos="220"/>
              </w:tabs>
              <w:rPr>
                <w:rFonts w:cs="Times New Roman"/>
              </w:rPr>
            </w:pPr>
            <w:r>
              <w:rPr>
                <w:rFonts w:cs="Times New Roman"/>
              </w:rPr>
              <w:t>Skills for Prosperity: The Transformation Power of Technical Education for Sustainable Development</w:t>
            </w:r>
          </w:p>
        </w:tc>
        <w:tc>
          <w:tcPr>
            <w:tcW w:w="1226" w:type="dxa"/>
          </w:tcPr>
          <w:p w14:paraId="19B502AD">
            <w:pPr>
              <w:tabs>
                <w:tab w:val="left" w:pos="220"/>
              </w:tabs>
              <w:rPr>
                <w:rFonts w:cs="Times New Roman"/>
              </w:rPr>
            </w:pPr>
            <w:r>
              <w:rPr>
                <w:rFonts w:cs="Times New Roman"/>
              </w:rPr>
              <w:t>11</w:t>
            </w:r>
            <w:r>
              <w:rPr>
                <w:rFonts w:cs="Times New Roman"/>
                <w:vertAlign w:val="superscript"/>
              </w:rPr>
              <w:t>th</w:t>
            </w:r>
            <w:r>
              <w:rPr>
                <w:rFonts w:cs="Times New Roman"/>
              </w:rPr>
              <w:t xml:space="preserve"> Dec., 2025</w:t>
            </w:r>
          </w:p>
        </w:tc>
      </w:tr>
      <w:tr w14:paraId="3426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03B6511D">
            <w:pPr>
              <w:tabs>
                <w:tab w:val="left" w:pos="220"/>
              </w:tabs>
              <w:rPr>
                <w:rFonts w:cs="Times New Roman"/>
              </w:rPr>
            </w:pPr>
            <w:r>
              <w:rPr>
                <w:rFonts w:cs="Times New Roman"/>
              </w:rPr>
              <w:t>140</w:t>
            </w:r>
          </w:p>
        </w:tc>
        <w:tc>
          <w:tcPr>
            <w:tcW w:w="3131" w:type="dxa"/>
          </w:tcPr>
          <w:p w14:paraId="04526EC0">
            <w:pPr>
              <w:tabs>
                <w:tab w:val="left" w:pos="220"/>
              </w:tabs>
              <w:rPr>
                <w:rFonts w:cs="Times New Roman"/>
              </w:rPr>
            </w:pPr>
            <w:r>
              <w:rPr>
                <w:rFonts w:cs="Times New Roman"/>
              </w:rPr>
              <w:t>Prof. Eunice E. Omonzejie; BA. Ed. (Ife); DEF (Grenoble-France); MA (Benin); PhD (Benin); MNAL</w:t>
            </w:r>
          </w:p>
        </w:tc>
        <w:tc>
          <w:tcPr>
            <w:tcW w:w="1549" w:type="dxa"/>
          </w:tcPr>
          <w:p w14:paraId="696F6B7A">
            <w:pPr>
              <w:tabs>
                <w:tab w:val="left" w:pos="220"/>
              </w:tabs>
              <w:rPr>
                <w:rFonts w:cs="Times New Roman"/>
              </w:rPr>
            </w:pPr>
            <w:r>
              <w:rPr>
                <w:rFonts w:cs="Times New Roman"/>
              </w:rPr>
              <w:t>Metropolitan French and Francophone Literatures and Cultures</w:t>
            </w:r>
          </w:p>
        </w:tc>
        <w:tc>
          <w:tcPr>
            <w:tcW w:w="2914" w:type="dxa"/>
          </w:tcPr>
          <w:p w14:paraId="727B1C35">
            <w:pPr>
              <w:tabs>
                <w:tab w:val="left" w:pos="220"/>
              </w:tabs>
              <w:rPr>
                <w:rFonts w:cs="Times New Roman"/>
              </w:rPr>
            </w:pPr>
            <w:r>
              <w:rPr>
                <w:rFonts w:cs="Times New Roman"/>
              </w:rPr>
              <w:t>African Migrant Masculinities, Modernities and Cultural Identities: Decoding Contemporary Realities in Francophone Fiction</w:t>
            </w:r>
          </w:p>
        </w:tc>
        <w:tc>
          <w:tcPr>
            <w:tcW w:w="1226" w:type="dxa"/>
          </w:tcPr>
          <w:p w14:paraId="77F604E0">
            <w:pPr>
              <w:tabs>
                <w:tab w:val="left" w:pos="220"/>
              </w:tabs>
              <w:rPr>
                <w:rFonts w:cs="Times New Roman"/>
              </w:rPr>
            </w:pPr>
            <w:r>
              <w:rPr>
                <w:rFonts w:cs="Times New Roman"/>
              </w:rPr>
              <w:t>19</w:t>
            </w:r>
            <w:r>
              <w:rPr>
                <w:rFonts w:cs="Times New Roman"/>
                <w:vertAlign w:val="superscript"/>
              </w:rPr>
              <w:t>th</w:t>
            </w:r>
            <w:r>
              <w:rPr>
                <w:rFonts w:cs="Times New Roman"/>
              </w:rPr>
              <w:t xml:space="preserve"> Feb., 2026</w:t>
            </w:r>
          </w:p>
        </w:tc>
      </w:tr>
      <w:tr w14:paraId="21639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2E7428C">
            <w:pPr>
              <w:tabs>
                <w:tab w:val="left" w:pos="220"/>
              </w:tabs>
              <w:rPr>
                <w:rFonts w:cs="Times New Roman"/>
              </w:rPr>
            </w:pPr>
            <w:r>
              <w:rPr>
                <w:rFonts w:cs="Times New Roman"/>
              </w:rPr>
              <w:t>141</w:t>
            </w:r>
          </w:p>
        </w:tc>
        <w:tc>
          <w:tcPr>
            <w:tcW w:w="3131" w:type="dxa"/>
          </w:tcPr>
          <w:p w14:paraId="6CF0BE23">
            <w:pPr>
              <w:tabs>
                <w:tab w:val="left" w:pos="220"/>
              </w:tabs>
              <w:rPr>
                <w:rFonts w:cs="Times New Roman"/>
              </w:rPr>
            </w:pPr>
            <w:r>
              <w:rPr>
                <w:rFonts w:cs="Times New Roman"/>
              </w:rPr>
              <w:t xml:space="preserve">Engr. Prof. Vincent Ope-Olowa Afenye Akpaida; B.Engr; M.Eng (Benin); PhD (Ekpoma) </w:t>
            </w:r>
          </w:p>
        </w:tc>
        <w:tc>
          <w:tcPr>
            <w:tcW w:w="1549" w:type="dxa"/>
          </w:tcPr>
          <w:p w14:paraId="6ABB3747">
            <w:pPr>
              <w:tabs>
                <w:tab w:val="left" w:pos="220"/>
              </w:tabs>
              <w:rPr>
                <w:rFonts w:cs="Times New Roman"/>
              </w:rPr>
            </w:pPr>
            <w:r>
              <w:rPr>
                <w:rFonts w:cs="Times New Roman"/>
              </w:rPr>
              <w:t>Electric and Telecommunication Engineering</w:t>
            </w:r>
          </w:p>
        </w:tc>
        <w:tc>
          <w:tcPr>
            <w:tcW w:w="2914" w:type="dxa"/>
          </w:tcPr>
          <w:p w14:paraId="2B4494A8">
            <w:pPr>
              <w:tabs>
                <w:tab w:val="left" w:pos="220"/>
              </w:tabs>
              <w:rPr>
                <w:rFonts w:cs="Times New Roman"/>
              </w:rPr>
            </w:pPr>
            <w:r>
              <w:rPr>
                <w:rFonts w:cs="Times New Roman"/>
              </w:rPr>
              <w:t>Exploring Path Loss in Telecommunication Engineering and It’s Significance in Scripture</w:t>
            </w:r>
          </w:p>
        </w:tc>
        <w:tc>
          <w:tcPr>
            <w:tcW w:w="1226" w:type="dxa"/>
          </w:tcPr>
          <w:p w14:paraId="0107C029">
            <w:pPr>
              <w:tabs>
                <w:tab w:val="left" w:pos="220"/>
              </w:tabs>
              <w:rPr>
                <w:rFonts w:cs="Times New Roman"/>
              </w:rPr>
            </w:pPr>
            <w:r>
              <w:rPr>
                <w:rFonts w:cs="Times New Roman"/>
              </w:rPr>
              <w:t>26</w:t>
            </w:r>
            <w:r>
              <w:rPr>
                <w:rFonts w:cs="Times New Roman"/>
                <w:vertAlign w:val="superscript"/>
              </w:rPr>
              <w:t>th</w:t>
            </w:r>
            <w:r>
              <w:rPr>
                <w:rFonts w:cs="Times New Roman"/>
              </w:rPr>
              <w:t xml:space="preserve"> Feb., 2026</w:t>
            </w:r>
          </w:p>
        </w:tc>
      </w:tr>
      <w:tr w14:paraId="523AF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03C5529B">
            <w:pPr>
              <w:tabs>
                <w:tab w:val="left" w:pos="220"/>
              </w:tabs>
              <w:rPr>
                <w:rFonts w:cs="Times New Roman"/>
              </w:rPr>
            </w:pPr>
            <w:r>
              <w:rPr>
                <w:rFonts w:cs="Times New Roman"/>
              </w:rPr>
              <w:t>142</w:t>
            </w:r>
          </w:p>
        </w:tc>
        <w:tc>
          <w:tcPr>
            <w:tcW w:w="3131" w:type="dxa"/>
          </w:tcPr>
          <w:p w14:paraId="43FEA876">
            <w:pPr>
              <w:tabs>
                <w:tab w:val="left" w:pos="220"/>
              </w:tabs>
              <w:rPr>
                <w:rFonts w:cs="Times New Roman"/>
              </w:rPr>
            </w:pPr>
            <w:r>
              <w:rPr>
                <w:rFonts w:cs="Times New Roman"/>
              </w:rPr>
              <w:t>Prof. Akpe Azuka Romanus; B.Sc; M.Sc; PhD (Ekpoma); PGDE (NOUN); ND; PGD Bible Theology (NAST), Ewu</w:t>
            </w:r>
          </w:p>
        </w:tc>
        <w:tc>
          <w:tcPr>
            <w:tcW w:w="1549" w:type="dxa"/>
          </w:tcPr>
          <w:p w14:paraId="1B919624">
            <w:pPr>
              <w:tabs>
                <w:tab w:val="left" w:pos="220"/>
              </w:tabs>
              <w:rPr>
                <w:rFonts w:cs="Times New Roman"/>
              </w:rPr>
            </w:pPr>
            <w:r>
              <w:rPr>
                <w:rFonts w:cs="Times New Roman"/>
              </w:rPr>
              <w:t>Microbiology</w:t>
            </w:r>
          </w:p>
        </w:tc>
        <w:tc>
          <w:tcPr>
            <w:tcW w:w="2914" w:type="dxa"/>
          </w:tcPr>
          <w:p w14:paraId="3B39A803">
            <w:pPr>
              <w:tabs>
                <w:tab w:val="left" w:pos="220"/>
              </w:tabs>
              <w:rPr>
                <w:rFonts w:cs="Times New Roman"/>
              </w:rPr>
            </w:pPr>
            <w:r>
              <w:rPr>
                <w:rFonts w:cs="Times New Roman"/>
              </w:rPr>
              <w:t>Microbial Oxymoron: The Paradox of Woes and Joys</w:t>
            </w:r>
          </w:p>
        </w:tc>
        <w:tc>
          <w:tcPr>
            <w:tcW w:w="1226" w:type="dxa"/>
          </w:tcPr>
          <w:p w14:paraId="2DEF5920">
            <w:pPr>
              <w:tabs>
                <w:tab w:val="left" w:pos="220"/>
              </w:tabs>
              <w:rPr>
                <w:rFonts w:cs="Times New Roman"/>
              </w:rPr>
            </w:pPr>
            <w:r>
              <w:rPr>
                <w:rFonts w:cs="Times New Roman"/>
              </w:rPr>
              <w:t>12</w:t>
            </w:r>
            <w:r>
              <w:rPr>
                <w:rFonts w:cs="Times New Roman"/>
                <w:vertAlign w:val="superscript"/>
              </w:rPr>
              <w:t>th</w:t>
            </w:r>
            <w:r>
              <w:rPr>
                <w:rFonts w:cs="Times New Roman"/>
              </w:rPr>
              <w:t xml:space="preserve"> Mar., 2026</w:t>
            </w:r>
          </w:p>
        </w:tc>
      </w:tr>
      <w:tr w14:paraId="7A356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625" w:type="dxa"/>
          </w:tcPr>
          <w:p w14:paraId="3B6B1B9E">
            <w:pPr>
              <w:tabs>
                <w:tab w:val="left" w:pos="220"/>
              </w:tabs>
              <w:rPr>
                <w:rFonts w:cs="Times New Roman"/>
              </w:rPr>
            </w:pPr>
            <w:r>
              <w:rPr>
                <w:rFonts w:cs="Times New Roman"/>
              </w:rPr>
              <w:t>143</w:t>
            </w:r>
          </w:p>
        </w:tc>
        <w:tc>
          <w:tcPr>
            <w:tcW w:w="3131" w:type="dxa"/>
          </w:tcPr>
          <w:p w14:paraId="170F5F9B">
            <w:pPr>
              <w:tabs>
                <w:tab w:val="left" w:pos="220"/>
              </w:tabs>
              <w:rPr>
                <w:rFonts w:cs="Times New Roman"/>
              </w:rPr>
            </w:pPr>
            <w:r>
              <w:rPr>
                <w:rFonts w:cs="Times New Roman"/>
              </w:rPr>
              <w:t>Prof. Samson Idowu Jegede; B.Sc (Hons); M.Sc; PhD (Ekpoma); MNIP; MSGCG; MEAGE; MALI (USA)</w:t>
            </w:r>
          </w:p>
        </w:tc>
        <w:tc>
          <w:tcPr>
            <w:tcW w:w="1549" w:type="dxa"/>
          </w:tcPr>
          <w:p w14:paraId="43D383AB">
            <w:pPr>
              <w:tabs>
                <w:tab w:val="left" w:pos="220"/>
              </w:tabs>
              <w:rPr>
                <w:rFonts w:cs="Times New Roman"/>
              </w:rPr>
            </w:pPr>
            <w:r>
              <w:rPr>
                <w:rFonts w:cs="Times New Roman"/>
              </w:rPr>
              <w:t>Geophysics</w:t>
            </w:r>
          </w:p>
        </w:tc>
        <w:tc>
          <w:tcPr>
            <w:tcW w:w="2914" w:type="dxa"/>
          </w:tcPr>
          <w:p w14:paraId="246F001A">
            <w:pPr>
              <w:tabs>
                <w:tab w:val="left" w:pos="220"/>
              </w:tabs>
              <w:rPr>
                <w:rFonts w:cs="Times New Roman"/>
              </w:rPr>
            </w:pPr>
            <w:r>
              <w:rPr>
                <w:rFonts w:cs="Times New Roman"/>
              </w:rPr>
              <w:t>Geophysics for Sustainability: Uncovering the Unseen Threats in Nigeria’s Subsurface</w:t>
            </w:r>
          </w:p>
        </w:tc>
        <w:tc>
          <w:tcPr>
            <w:tcW w:w="1226" w:type="dxa"/>
          </w:tcPr>
          <w:p w14:paraId="5163BC23">
            <w:pPr>
              <w:tabs>
                <w:tab w:val="left" w:pos="220"/>
              </w:tabs>
              <w:rPr>
                <w:rFonts w:cs="Times New Roman"/>
              </w:rPr>
            </w:pPr>
            <w:r>
              <w:rPr>
                <w:rFonts w:cs="Times New Roman"/>
              </w:rPr>
              <w:t>26</w:t>
            </w:r>
            <w:r>
              <w:rPr>
                <w:rFonts w:cs="Times New Roman"/>
                <w:vertAlign w:val="superscript"/>
              </w:rPr>
              <w:t>th</w:t>
            </w:r>
            <w:r>
              <w:rPr>
                <w:rFonts w:cs="Times New Roman"/>
              </w:rPr>
              <w:t xml:space="preserve"> Mar., 2026</w:t>
            </w:r>
          </w:p>
        </w:tc>
      </w:tr>
      <w:tr w14:paraId="5E012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E4842C8">
            <w:pPr>
              <w:tabs>
                <w:tab w:val="left" w:pos="220"/>
              </w:tabs>
              <w:rPr>
                <w:rFonts w:cs="Times New Roman"/>
              </w:rPr>
            </w:pPr>
            <w:r>
              <w:rPr>
                <w:rFonts w:cs="Times New Roman"/>
              </w:rPr>
              <w:t>144</w:t>
            </w:r>
          </w:p>
        </w:tc>
        <w:tc>
          <w:tcPr>
            <w:tcW w:w="3131" w:type="dxa"/>
          </w:tcPr>
          <w:p w14:paraId="6536D795">
            <w:pPr>
              <w:tabs>
                <w:tab w:val="left" w:pos="220"/>
              </w:tabs>
              <w:rPr>
                <w:rFonts w:cs="Times New Roman"/>
              </w:rPr>
            </w:pPr>
            <w:r>
              <w:rPr>
                <w:rFonts w:cs="Times New Roman"/>
              </w:rPr>
              <w:t>Prof. Blessing Oaikhena Idonijie; MBBS (Ibadan); M.Sc (Ibaban); PhD (AAUE); FIIA; NISSGA; FAMeds</w:t>
            </w:r>
          </w:p>
        </w:tc>
        <w:tc>
          <w:tcPr>
            <w:tcW w:w="1549" w:type="dxa"/>
          </w:tcPr>
          <w:p w14:paraId="03F962BF">
            <w:pPr>
              <w:tabs>
                <w:tab w:val="left" w:pos="220"/>
              </w:tabs>
              <w:rPr>
                <w:rFonts w:cs="Times New Roman"/>
              </w:rPr>
            </w:pPr>
            <w:r>
              <w:rPr>
                <w:rFonts w:cs="Times New Roman"/>
              </w:rPr>
              <w:t>Clinical Biochemistry</w:t>
            </w:r>
          </w:p>
        </w:tc>
        <w:tc>
          <w:tcPr>
            <w:tcW w:w="2914" w:type="dxa"/>
          </w:tcPr>
          <w:p w14:paraId="114DF748">
            <w:pPr>
              <w:tabs>
                <w:tab w:val="left" w:pos="220"/>
              </w:tabs>
              <w:rPr>
                <w:rFonts w:cs="Times New Roman"/>
              </w:rPr>
            </w:pPr>
            <w:r>
              <w:rPr>
                <w:rFonts w:cs="Times New Roman"/>
              </w:rPr>
              <w:t>Reversing the Trend of Diabetes and Hypertension the Two Sides of a Metabolic Coin: Determinant of a Longevity and Quality of life in Nigeria</w:t>
            </w:r>
          </w:p>
        </w:tc>
        <w:tc>
          <w:tcPr>
            <w:tcW w:w="1226" w:type="dxa"/>
          </w:tcPr>
          <w:p w14:paraId="771439FA">
            <w:pPr>
              <w:tabs>
                <w:tab w:val="left" w:pos="220"/>
              </w:tabs>
              <w:rPr>
                <w:rFonts w:cs="Times New Roman"/>
              </w:rPr>
            </w:pPr>
            <w:r>
              <w:rPr>
                <w:rFonts w:cs="Times New Roman"/>
              </w:rPr>
              <w:t>9</w:t>
            </w:r>
            <w:r>
              <w:rPr>
                <w:rFonts w:cs="Times New Roman"/>
                <w:vertAlign w:val="superscript"/>
              </w:rPr>
              <w:t>th</w:t>
            </w:r>
            <w:r>
              <w:rPr>
                <w:rFonts w:cs="Times New Roman"/>
              </w:rPr>
              <w:t xml:space="preserve"> Apr., 2026</w:t>
            </w:r>
          </w:p>
        </w:tc>
      </w:tr>
      <w:tr w14:paraId="5B0C0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E561019">
            <w:pPr>
              <w:tabs>
                <w:tab w:val="left" w:pos="220"/>
              </w:tabs>
              <w:rPr>
                <w:rFonts w:cs="Times New Roman"/>
              </w:rPr>
            </w:pPr>
            <w:r>
              <w:rPr>
                <w:rFonts w:cs="Times New Roman"/>
              </w:rPr>
              <w:t>145</w:t>
            </w:r>
          </w:p>
        </w:tc>
        <w:tc>
          <w:tcPr>
            <w:tcW w:w="3131" w:type="dxa"/>
          </w:tcPr>
          <w:p w14:paraId="76B48A69">
            <w:pPr>
              <w:tabs>
                <w:tab w:val="left" w:pos="220"/>
              </w:tabs>
              <w:rPr>
                <w:rFonts w:cs="Times New Roman"/>
              </w:rPr>
            </w:pPr>
            <w:r>
              <w:rPr>
                <w:rFonts w:cs="Times New Roman"/>
              </w:rPr>
              <w:t>Prof. Rueben Agbonyosoria Eifediyi; MBBS (Nig); DHSM (Isreal); FWACS; FMCOG; FICS; FCAI; FCHRM; CPM; FCILRM</w:t>
            </w:r>
          </w:p>
        </w:tc>
        <w:tc>
          <w:tcPr>
            <w:tcW w:w="1549" w:type="dxa"/>
          </w:tcPr>
          <w:p w14:paraId="072EDDC0">
            <w:pPr>
              <w:tabs>
                <w:tab w:val="left" w:pos="220"/>
              </w:tabs>
              <w:rPr>
                <w:rFonts w:cs="Times New Roman"/>
              </w:rPr>
            </w:pPr>
            <w:r>
              <w:rPr>
                <w:rFonts w:cs="Times New Roman"/>
              </w:rPr>
              <w:t>Obstetrics &amp; Gynaecology</w:t>
            </w:r>
          </w:p>
        </w:tc>
        <w:tc>
          <w:tcPr>
            <w:tcW w:w="2914" w:type="dxa"/>
          </w:tcPr>
          <w:p w14:paraId="2BFDCF1D">
            <w:pPr>
              <w:tabs>
                <w:tab w:val="left" w:pos="220"/>
              </w:tabs>
              <w:rPr>
                <w:rFonts w:cs="Times New Roman"/>
              </w:rPr>
            </w:pPr>
            <w:r>
              <w:rPr>
                <w:rFonts w:cs="Times New Roman"/>
              </w:rPr>
              <w:t>The Child is the Father of the Man in Perinatal Obstetrics and Gynaecology</w:t>
            </w:r>
          </w:p>
        </w:tc>
        <w:tc>
          <w:tcPr>
            <w:tcW w:w="1226" w:type="dxa"/>
          </w:tcPr>
          <w:p w14:paraId="42FF6680">
            <w:pPr>
              <w:tabs>
                <w:tab w:val="left" w:pos="220"/>
              </w:tabs>
              <w:rPr>
                <w:rFonts w:cs="Times New Roman"/>
              </w:rPr>
            </w:pPr>
            <w:r>
              <w:rPr>
                <w:rFonts w:cs="Times New Roman"/>
              </w:rPr>
              <w:t>23</w:t>
            </w:r>
            <w:r>
              <w:rPr>
                <w:rFonts w:cs="Times New Roman"/>
                <w:vertAlign w:val="superscript"/>
              </w:rPr>
              <w:t>rd</w:t>
            </w:r>
            <w:r>
              <w:rPr>
                <w:rFonts w:cs="Times New Roman"/>
              </w:rPr>
              <w:t xml:space="preserve"> Apr., 2026</w:t>
            </w:r>
          </w:p>
        </w:tc>
      </w:tr>
      <w:tr w14:paraId="10A9F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6F3399B">
            <w:pPr>
              <w:tabs>
                <w:tab w:val="left" w:pos="220"/>
              </w:tabs>
              <w:rPr>
                <w:rFonts w:cs="Times New Roman"/>
              </w:rPr>
            </w:pPr>
            <w:r>
              <w:rPr>
                <w:rFonts w:cs="Times New Roman"/>
              </w:rPr>
              <w:t>146</w:t>
            </w:r>
          </w:p>
        </w:tc>
        <w:tc>
          <w:tcPr>
            <w:tcW w:w="3131" w:type="dxa"/>
          </w:tcPr>
          <w:p w14:paraId="6BF5E984">
            <w:pPr>
              <w:tabs>
                <w:tab w:val="left" w:pos="220"/>
              </w:tabs>
              <w:rPr>
                <w:rFonts w:cs="Times New Roman"/>
              </w:rPr>
            </w:pPr>
            <w:r>
              <w:rPr>
                <w:rFonts w:cs="Times New Roman"/>
              </w:rPr>
              <w:t>Prof. Nnebe Samuel Ekene; B.Sc (Nsukka); M.Sc (Akwa); MBA (Ekpoma); PhD (Abakaliki); FNCS; FAAN</w:t>
            </w:r>
          </w:p>
        </w:tc>
        <w:tc>
          <w:tcPr>
            <w:tcW w:w="1549" w:type="dxa"/>
          </w:tcPr>
          <w:p w14:paraId="540C50AF">
            <w:pPr>
              <w:tabs>
                <w:tab w:val="left" w:pos="220"/>
              </w:tabs>
              <w:rPr>
                <w:rFonts w:cs="Times New Roman"/>
              </w:rPr>
            </w:pPr>
            <w:r>
              <w:rPr>
                <w:rFonts w:cs="Times New Roman"/>
              </w:rPr>
              <w:t>Computer Science</w:t>
            </w:r>
          </w:p>
        </w:tc>
        <w:tc>
          <w:tcPr>
            <w:tcW w:w="2914" w:type="dxa"/>
          </w:tcPr>
          <w:p w14:paraId="77801A6B">
            <w:pPr>
              <w:tabs>
                <w:tab w:val="left" w:pos="220"/>
              </w:tabs>
              <w:rPr>
                <w:rFonts w:cs="Times New Roman"/>
              </w:rPr>
            </w:pPr>
            <w:r>
              <w:rPr>
                <w:rFonts w:cs="Times New Roman"/>
              </w:rPr>
              <w:t>Leveraging the Garbage in Garbage out Paradigm; Quest for Smarter Data System</w:t>
            </w:r>
          </w:p>
        </w:tc>
        <w:tc>
          <w:tcPr>
            <w:tcW w:w="1226" w:type="dxa"/>
          </w:tcPr>
          <w:p w14:paraId="08827AB4">
            <w:pPr>
              <w:tabs>
                <w:tab w:val="left" w:pos="220"/>
              </w:tabs>
              <w:rPr>
                <w:rFonts w:cs="Times New Roman"/>
              </w:rPr>
            </w:pPr>
            <w:r>
              <w:rPr>
                <w:rFonts w:cs="Times New Roman"/>
              </w:rPr>
              <w:t>7</w:t>
            </w:r>
            <w:r>
              <w:rPr>
                <w:rFonts w:cs="Times New Roman"/>
                <w:vertAlign w:val="superscript"/>
              </w:rPr>
              <w:t>th</w:t>
            </w:r>
            <w:r>
              <w:rPr>
                <w:rFonts w:cs="Times New Roman"/>
              </w:rPr>
              <w:t xml:space="preserve"> May, 2026</w:t>
            </w:r>
          </w:p>
        </w:tc>
      </w:tr>
      <w:tr w14:paraId="63FA4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3F6E414">
            <w:pPr>
              <w:tabs>
                <w:tab w:val="left" w:pos="220"/>
              </w:tabs>
              <w:rPr>
                <w:rFonts w:cs="Times New Roman"/>
              </w:rPr>
            </w:pPr>
            <w:r>
              <w:rPr>
                <w:rFonts w:cs="Times New Roman"/>
              </w:rPr>
              <w:t>147</w:t>
            </w:r>
          </w:p>
        </w:tc>
        <w:tc>
          <w:tcPr>
            <w:tcW w:w="3131" w:type="dxa"/>
          </w:tcPr>
          <w:p w14:paraId="1198BDBE">
            <w:pPr>
              <w:tabs>
                <w:tab w:val="left" w:pos="220"/>
              </w:tabs>
              <w:rPr>
                <w:rFonts w:cs="Times New Roman"/>
              </w:rPr>
            </w:pPr>
            <w:r>
              <w:rPr>
                <w:rFonts w:cs="Times New Roman"/>
              </w:rPr>
              <w:t>Prof. Abdul-Rasaq MCsionel Momoh; B.Sc (Hons); M.Sc (Medical Microbiology); MBBS; PhD</w:t>
            </w:r>
          </w:p>
        </w:tc>
        <w:tc>
          <w:tcPr>
            <w:tcW w:w="1549" w:type="dxa"/>
          </w:tcPr>
          <w:p w14:paraId="2BB3D9C6">
            <w:pPr>
              <w:tabs>
                <w:tab w:val="left" w:pos="220"/>
              </w:tabs>
              <w:rPr>
                <w:rFonts w:cs="Times New Roman"/>
              </w:rPr>
            </w:pPr>
            <w:r>
              <w:rPr>
                <w:rFonts w:cs="Times New Roman"/>
              </w:rPr>
              <w:t>Medical Microbiology</w:t>
            </w:r>
          </w:p>
        </w:tc>
        <w:tc>
          <w:tcPr>
            <w:tcW w:w="2914" w:type="dxa"/>
          </w:tcPr>
          <w:p w14:paraId="2DB639CD">
            <w:pPr>
              <w:tabs>
                <w:tab w:val="left" w:pos="220"/>
              </w:tabs>
              <w:rPr>
                <w:rFonts w:cs="Times New Roman"/>
              </w:rPr>
            </w:pPr>
            <w:r>
              <w:rPr>
                <w:rFonts w:cs="Times New Roman"/>
              </w:rPr>
              <w:t xml:space="preserve">Making Him a Man Again. Circumventing the Pitfall Associated with Bacterial Infection in Male Factor Infertility (92pp)  </w:t>
            </w:r>
          </w:p>
        </w:tc>
        <w:tc>
          <w:tcPr>
            <w:tcW w:w="1226" w:type="dxa"/>
          </w:tcPr>
          <w:p w14:paraId="42D44224">
            <w:pPr>
              <w:tabs>
                <w:tab w:val="left" w:pos="220"/>
              </w:tabs>
              <w:rPr>
                <w:rFonts w:cs="Times New Roman"/>
              </w:rPr>
            </w:pPr>
            <w:r>
              <w:rPr>
                <w:rFonts w:cs="Times New Roman"/>
              </w:rPr>
              <w:t>21</w:t>
            </w:r>
            <w:r>
              <w:rPr>
                <w:rFonts w:cs="Times New Roman"/>
                <w:vertAlign w:val="superscript"/>
              </w:rPr>
              <w:t>st</w:t>
            </w:r>
            <w:r>
              <w:rPr>
                <w:rFonts w:cs="Times New Roman"/>
              </w:rPr>
              <w:t xml:space="preserve"> May, 2026</w:t>
            </w:r>
          </w:p>
        </w:tc>
      </w:tr>
      <w:tr w14:paraId="14221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12DC103C">
            <w:pPr>
              <w:tabs>
                <w:tab w:val="left" w:pos="220"/>
              </w:tabs>
              <w:rPr>
                <w:rFonts w:cs="Times New Roman"/>
              </w:rPr>
            </w:pPr>
            <w:r>
              <w:rPr>
                <w:rFonts w:cs="Times New Roman"/>
              </w:rPr>
              <w:t>148</w:t>
            </w:r>
          </w:p>
        </w:tc>
        <w:tc>
          <w:tcPr>
            <w:tcW w:w="3131" w:type="dxa"/>
          </w:tcPr>
          <w:p w14:paraId="1F67822D">
            <w:pPr>
              <w:tabs>
                <w:tab w:val="left" w:pos="220"/>
              </w:tabs>
              <w:rPr>
                <w:rFonts w:cs="Times New Roman"/>
              </w:rPr>
            </w:pPr>
            <w:r>
              <w:rPr>
                <w:rFonts w:cs="Times New Roman"/>
              </w:rPr>
              <w:t>Prof. Okechukwu Felix Emeflike; (AMLSCN; FMLSCN; MLS; PhD; FWAPCMLS)</w:t>
            </w:r>
          </w:p>
        </w:tc>
        <w:tc>
          <w:tcPr>
            <w:tcW w:w="1549" w:type="dxa"/>
          </w:tcPr>
          <w:p w14:paraId="60F9AA8C">
            <w:pPr>
              <w:tabs>
                <w:tab w:val="left" w:pos="220"/>
              </w:tabs>
              <w:rPr>
                <w:rFonts w:cs="Times New Roman"/>
              </w:rPr>
            </w:pPr>
            <w:r>
              <w:rPr>
                <w:rFonts w:cs="Times New Roman"/>
              </w:rPr>
              <w:t>Haematology and Blood Transfusion Science</w:t>
            </w:r>
          </w:p>
        </w:tc>
        <w:tc>
          <w:tcPr>
            <w:tcW w:w="2914" w:type="dxa"/>
          </w:tcPr>
          <w:p w14:paraId="6510B185">
            <w:pPr>
              <w:tabs>
                <w:tab w:val="left" w:pos="220"/>
              </w:tabs>
              <w:rPr>
                <w:rFonts w:cs="Times New Roman"/>
              </w:rPr>
            </w:pPr>
            <w:r>
              <w:rPr>
                <w:rFonts w:cs="Times New Roman"/>
              </w:rPr>
              <w:t>The Silent Witness in Our Veins</w:t>
            </w:r>
          </w:p>
        </w:tc>
        <w:tc>
          <w:tcPr>
            <w:tcW w:w="1226" w:type="dxa"/>
          </w:tcPr>
          <w:p w14:paraId="4C773466">
            <w:pPr>
              <w:tabs>
                <w:tab w:val="left" w:pos="220"/>
              </w:tabs>
              <w:rPr>
                <w:rFonts w:cs="Times New Roman"/>
              </w:rPr>
            </w:pPr>
            <w:r>
              <w:rPr>
                <w:rFonts w:cs="Times New Roman"/>
              </w:rPr>
              <w:t>4</w:t>
            </w:r>
            <w:r>
              <w:rPr>
                <w:rFonts w:cs="Times New Roman"/>
                <w:vertAlign w:val="superscript"/>
              </w:rPr>
              <w:t>th</w:t>
            </w:r>
            <w:r>
              <w:rPr>
                <w:rFonts w:cs="Times New Roman"/>
              </w:rPr>
              <w:t xml:space="preserve"> Jun., 2026</w:t>
            </w:r>
          </w:p>
        </w:tc>
      </w:tr>
      <w:tr w14:paraId="23113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B7D2DAF">
            <w:pPr>
              <w:tabs>
                <w:tab w:val="left" w:pos="220"/>
              </w:tabs>
              <w:rPr>
                <w:rFonts w:cs="Times New Roman"/>
              </w:rPr>
            </w:pPr>
            <w:r>
              <w:rPr>
                <w:rFonts w:cs="Times New Roman"/>
              </w:rPr>
              <w:t>149</w:t>
            </w:r>
          </w:p>
        </w:tc>
        <w:tc>
          <w:tcPr>
            <w:tcW w:w="3131" w:type="dxa"/>
          </w:tcPr>
          <w:p w14:paraId="0C4E89F0">
            <w:pPr>
              <w:tabs>
                <w:tab w:val="left" w:pos="220"/>
              </w:tabs>
              <w:rPr>
                <w:rFonts w:cs="Times New Roman"/>
              </w:rPr>
            </w:pPr>
            <w:r>
              <w:rPr>
                <w:rFonts w:cs="Times New Roman"/>
              </w:rPr>
              <w:t>Prof. Anthony Aizebioje Coker; Dip (Badagry); BA (Hons) (EDSU); MA (UI); PhD (AAUE)</w:t>
            </w:r>
          </w:p>
        </w:tc>
        <w:tc>
          <w:tcPr>
            <w:tcW w:w="1549" w:type="dxa"/>
          </w:tcPr>
          <w:p w14:paraId="3C0E7D4D">
            <w:pPr>
              <w:tabs>
                <w:tab w:val="left" w:pos="220"/>
              </w:tabs>
              <w:rPr>
                <w:rFonts w:cs="Times New Roman"/>
              </w:rPr>
            </w:pPr>
            <w:r>
              <w:rPr>
                <w:rFonts w:cs="Times New Roman"/>
              </w:rPr>
              <w:t>Modern Languages</w:t>
            </w:r>
          </w:p>
        </w:tc>
        <w:tc>
          <w:tcPr>
            <w:tcW w:w="2914" w:type="dxa"/>
          </w:tcPr>
          <w:p w14:paraId="12E9C6E5">
            <w:pPr>
              <w:tabs>
                <w:tab w:val="left" w:pos="220"/>
              </w:tabs>
              <w:rPr>
                <w:rFonts w:cs="Times New Roman"/>
              </w:rPr>
            </w:pPr>
            <w:r>
              <w:rPr>
                <w:rFonts w:cs="Times New Roman"/>
              </w:rPr>
              <w:t>Dictatorship and tyranny as Conjoined Twins: Discourse in Francophone Africa Literature</w:t>
            </w:r>
          </w:p>
        </w:tc>
        <w:tc>
          <w:tcPr>
            <w:tcW w:w="1226" w:type="dxa"/>
          </w:tcPr>
          <w:p w14:paraId="2D800374">
            <w:pPr>
              <w:tabs>
                <w:tab w:val="left" w:pos="220"/>
              </w:tabs>
              <w:rPr>
                <w:rFonts w:cs="Times New Roman"/>
              </w:rPr>
            </w:pPr>
            <w:r>
              <w:rPr>
                <w:rFonts w:cs="Times New Roman"/>
              </w:rPr>
              <w:t>18</w:t>
            </w:r>
            <w:r>
              <w:rPr>
                <w:rFonts w:cs="Times New Roman"/>
                <w:vertAlign w:val="superscript"/>
              </w:rPr>
              <w:t>th</w:t>
            </w:r>
            <w:r>
              <w:rPr>
                <w:rFonts w:cs="Times New Roman"/>
              </w:rPr>
              <w:t xml:space="preserve"> Jun., 2026</w:t>
            </w:r>
          </w:p>
        </w:tc>
      </w:tr>
      <w:tr w14:paraId="7789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7A3FBA4">
            <w:pPr>
              <w:tabs>
                <w:tab w:val="left" w:pos="220"/>
              </w:tabs>
              <w:rPr>
                <w:rFonts w:cs="Times New Roman"/>
              </w:rPr>
            </w:pPr>
            <w:r>
              <w:rPr>
                <w:rFonts w:cs="Times New Roman"/>
              </w:rPr>
              <w:t>150</w:t>
            </w:r>
          </w:p>
        </w:tc>
        <w:tc>
          <w:tcPr>
            <w:tcW w:w="3131" w:type="dxa"/>
          </w:tcPr>
          <w:p w14:paraId="18F9BE5D">
            <w:pPr>
              <w:tabs>
                <w:tab w:val="left" w:pos="220"/>
              </w:tabs>
              <w:rPr>
                <w:rFonts w:cs="Times New Roman"/>
              </w:rPr>
            </w:pPr>
            <w:r>
              <w:rPr>
                <w:rFonts w:cs="Times New Roman"/>
              </w:rPr>
              <w:t>Prof. PR. Felix Ilori Olusi; NCE (Tech)  (Lagos); B.Sc (ED). (Tech) (Benin); M.Ed; PhD (Ekpoma)</w:t>
            </w:r>
          </w:p>
        </w:tc>
        <w:tc>
          <w:tcPr>
            <w:tcW w:w="1549" w:type="dxa"/>
          </w:tcPr>
          <w:p w14:paraId="4008ABF5">
            <w:pPr>
              <w:tabs>
                <w:tab w:val="left" w:pos="220"/>
              </w:tabs>
              <w:rPr>
                <w:rFonts w:cs="Times New Roman"/>
              </w:rPr>
            </w:pPr>
            <w:r>
              <w:rPr>
                <w:rFonts w:cs="Times New Roman"/>
              </w:rPr>
              <w:t xml:space="preserve">Industrial Technical Education </w:t>
            </w:r>
          </w:p>
        </w:tc>
        <w:tc>
          <w:tcPr>
            <w:tcW w:w="2914" w:type="dxa"/>
          </w:tcPr>
          <w:p w14:paraId="27B9BC5C">
            <w:pPr>
              <w:tabs>
                <w:tab w:val="left" w:pos="220"/>
              </w:tabs>
              <w:rPr>
                <w:rFonts w:cs="Times New Roman"/>
              </w:rPr>
            </w:pPr>
            <w:r>
              <w:rPr>
                <w:rFonts w:cs="Times New Roman"/>
              </w:rPr>
              <w:t>Industrial-Technicalization of School Curriculum in the Era of Artificial Intelligence: The Paradigm Must Change (76pp)</w:t>
            </w:r>
          </w:p>
        </w:tc>
        <w:tc>
          <w:tcPr>
            <w:tcW w:w="1226" w:type="dxa"/>
          </w:tcPr>
          <w:p w14:paraId="1B7BCD8C">
            <w:pPr>
              <w:tabs>
                <w:tab w:val="left" w:pos="220"/>
              </w:tabs>
              <w:rPr>
                <w:rFonts w:cs="Times New Roman"/>
              </w:rPr>
            </w:pPr>
            <w:r>
              <w:rPr>
                <w:rFonts w:cs="Times New Roman"/>
              </w:rPr>
              <w:t>2</w:t>
            </w:r>
            <w:r>
              <w:rPr>
                <w:rFonts w:cs="Times New Roman"/>
                <w:vertAlign w:val="superscript"/>
              </w:rPr>
              <w:t>nd</w:t>
            </w:r>
            <w:r>
              <w:rPr>
                <w:rFonts w:cs="Times New Roman"/>
              </w:rPr>
              <w:t xml:space="preserve"> Jul., 2026</w:t>
            </w:r>
          </w:p>
        </w:tc>
      </w:tr>
      <w:tr w14:paraId="4B835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3FEBCAE">
            <w:pPr>
              <w:tabs>
                <w:tab w:val="left" w:pos="220"/>
              </w:tabs>
              <w:rPr>
                <w:rFonts w:cs="Times New Roman"/>
              </w:rPr>
            </w:pPr>
            <w:r>
              <w:rPr>
                <w:rFonts w:cs="Times New Roman"/>
              </w:rPr>
              <w:t>151</w:t>
            </w:r>
          </w:p>
        </w:tc>
        <w:tc>
          <w:tcPr>
            <w:tcW w:w="3131" w:type="dxa"/>
          </w:tcPr>
          <w:p w14:paraId="3E9944BD">
            <w:pPr>
              <w:tabs>
                <w:tab w:val="left" w:pos="220"/>
              </w:tabs>
              <w:rPr>
                <w:rFonts w:cs="Times New Roman"/>
              </w:rPr>
            </w:pPr>
            <w:r>
              <w:rPr>
                <w:rFonts w:cs="Times New Roman"/>
              </w:rPr>
              <w:t>Prof. DCNS Rosemary Iyalekhuosa Osawaru-Ogbegie; B.Sc (Dalla Texas); M.Ed (Benin); PhD (Ekpoma)</w:t>
            </w:r>
          </w:p>
        </w:tc>
        <w:tc>
          <w:tcPr>
            <w:tcW w:w="1549" w:type="dxa"/>
          </w:tcPr>
          <w:p w14:paraId="18EEE539">
            <w:pPr>
              <w:tabs>
                <w:tab w:val="left" w:pos="220"/>
              </w:tabs>
              <w:rPr>
                <w:rFonts w:cs="Times New Roman"/>
              </w:rPr>
            </w:pPr>
            <w:r>
              <w:rPr>
                <w:rFonts w:cs="Times New Roman"/>
              </w:rPr>
              <w:t>Educational Management</w:t>
            </w:r>
          </w:p>
        </w:tc>
        <w:tc>
          <w:tcPr>
            <w:tcW w:w="2914" w:type="dxa"/>
          </w:tcPr>
          <w:p w14:paraId="1FDC7807">
            <w:pPr>
              <w:tabs>
                <w:tab w:val="left" w:pos="220"/>
              </w:tabs>
              <w:rPr>
                <w:rFonts w:cs="Times New Roman"/>
              </w:rPr>
            </w:pPr>
            <w:r>
              <w:rPr>
                <w:rFonts w:cs="Times New Roman"/>
              </w:rPr>
              <w:t>Intrinsic Satisfiers: Veritable Keys for Reflective Measurement of Staff and Timely Actualization of Organizational Goals</w:t>
            </w:r>
          </w:p>
        </w:tc>
        <w:tc>
          <w:tcPr>
            <w:tcW w:w="1226" w:type="dxa"/>
          </w:tcPr>
          <w:p w14:paraId="67F5607C">
            <w:pPr>
              <w:tabs>
                <w:tab w:val="left" w:pos="220"/>
              </w:tabs>
              <w:rPr>
                <w:rFonts w:cs="Times New Roman"/>
              </w:rPr>
            </w:pPr>
            <w:r>
              <w:rPr>
                <w:rFonts w:cs="Times New Roman"/>
              </w:rPr>
              <w:t>16</w:t>
            </w:r>
            <w:r>
              <w:rPr>
                <w:rFonts w:cs="Times New Roman"/>
                <w:vertAlign w:val="superscript"/>
              </w:rPr>
              <w:t>th</w:t>
            </w:r>
            <w:r>
              <w:rPr>
                <w:rFonts w:cs="Times New Roman"/>
              </w:rPr>
              <w:t xml:space="preserve"> Jul., 2026</w:t>
            </w:r>
          </w:p>
        </w:tc>
      </w:tr>
      <w:tr w14:paraId="08A54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09421773">
            <w:pPr>
              <w:tabs>
                <w:tab w:val="left" w:pos="220"/>
              </w:tabs>
              <w:rPr>
                <w:rFonts w:cs="Times New Roman"/>
              </w:rPr>
            </w:pPr>
            <w:r>
              <w:rPr>
                <w:rFonts w:cs="Times New Roman"/>
              </w:rPr>
              <w:t>152</w:t>
            </w:r>
          </w:p>
        </w:tc>
        <w:tc>
          <w:tcPr>
            <w:tcW w:w="3131" w:type="dxa"/>
          </w:tcPr>
          <w:p w14:paraId="478A429C">
            <w:pPr>
              <w:tabs>
                <w:tab w:val="left" w:pos="220"/>
              </w:tabs>
              <w:rPr>
                <w:rFonts w:cs="Times New Roman"/>
              </w:rPr>
            </w:pPr>
            <w:r>
              <w:rPr>
                <w:rFonts w:cs="Times New Roman"/>
              </w:rPr>
              <w:t>Prof. (Mrs). Bridget Esele Uwameiye; NCE (Warri); B.Sc (Ed) Ekpoma; M.Ed (Benin); PhD (Benin); FHEPAN</w:t>
            </w:r>
          </w:p>
        </w:tc>
        <w:tc>
          <w:tcPr>
            <w:tcW w:w="1549" w:type="dxa"/>
          </w:tcPr>
          <w:p w14:paraId="1E2A3E7B">
            <w:pPr>
              <w:tabs>
                <w:tab w:val="left" w:pos="220"/>
              </w:tabs>
              <w:rPr>
                <w:rFonts w:cs="Times New Roman"/>
              </w:rPr>
            </w:pPr>
            <w:r>
              <w:rPr>
                <w:rFonts w:cs="Times New Roman"/>
              </w:rPr>
              <w:t>Home Economics Education</w:t>
            </w:r>
          </w:p>
        </w:tc>
        <w:tc>
          <w:tcPr>
            <w:tcW w:w="2914" w:type="dxa"/>
          </w:tcPr>
          <w:p w14:paraId="55ABA60F">
            <w:pPr>
              <w:tabs>
                <w:tab w:val="left" w:pos="220"/>
              </w:tabs>
              <w:rPr>
                <w:rFonts w:cs="Times New Roman"/>
              </w:rPr>
            </w:pPr>
            <w:r>
              <w:rPr>
                <w:rFonts w:cs="Times New Roman"/>
              </w:rPr>
              <w:t>From Generation to Generation: Reclaiming Indigenous Wisdom for Contemporary Homes and Schools</w:t>
            </w:r>
          </w:p>
        </w:tc>
        <w:tc>
          <w:tcPr>
            <w:tcW w:w="1226" w:type="dxa"/>
          </w:tcPr>
          <w:p w14:paraId="350E8230">
            <w:pPr>
              <w:tabs>
                <w:tab w:val="left" w:pos="220"/>
              </w:tabs>
              <w:rPr>
                <w:rFonts w:cs="Times New Roman"/>
              </w:rPr>
            </w:pPr>
            <w:r>
              <w:rPr>
                <w:rFonts w:cs="Times New Roman"/>
              </w:rPr>
              <w:t>20</w:t>
            </w:r>
            <w:r>
              <w:rPr>
                <w:rFonts w:cs="Times New Roman"/>
                <w:vertAlign w:val="superscript"/>
              </w:rPr>
              <w:t>th</w:t>
            </w:r>
            <w:r>
              <w:rPr>
                <w:rFonts w:cs="Times New Roman"/>
              </w:rPr>
              <w:t xml:space="preserve"> Aug., 2026</w:t>
            </w:r>
          </w:p>
        </w:tc>
      </w:tr>
      <w:tr w14:paraId="67F9F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759C6B9">
            <w:pPr>
              <w:tabs>
                <w:tab w:val="left" w:pos="220"/>
              </w:tabs>
              <w:rPr>
                <w:rFonts w:cs="Times New Roman"/>
              </w:rPr>
            </w:pPr>
            <w:r>
              <w:rPr>
                <w:rFonts w:cs="Times New Roman"/>
              </w:rPr>
              <w:t>153</w:t>
            </w:r>
          </w:p>
        </w:tc>
        <w:tc>
          <w:tcPr>
            <w:tcW w:w="3131" w:type="dxa"/>
          </w:tcPr>
          <w:p w14:paraId="5A2988D6">
            <w:pPr>
              <w:tabs>
                <w:tab w:val="left" w:pos="220"/>
              </w:tabs>
              <w:rPr>
                <w:rFonts w:cs="Times New Roman"/>
              </w:rPr>
            </w:pPr>
            <w:r>
              <w:rPr>
                <w:rFonts w:cs="Times New Roman"/>
              </w:rPr>
              <w:t xml:space="preserve">Engr. Prof. Emmanuel Ufuah; B.Eng. Civil Eng. (Ekpoma); M.Eng. Structures (Benin); PhD SFE (Manchester); MNSE; MIFE; MSFPE; R. COREN </w:t>
            </w:r>
          </w:p>
        </w:tc>
        <w:tc>
          <w:tcPr>
            <w:tcW w:w="1549" w:type="dxa"/>
          </w:tcPr>
          <w:p w14:paraId="06736D96">
            <w:pPr>
              <w:tabs>
                <w:tab w:val="left" w:pos="220"/>
              </w:tabs>
              <w:rPr>
                <w:rFonts w:cs="Times New Roman"/>
              </w:rPr>
            </w:pPr>
            <w:r>
              <w:rPr>
                <w:rFonts w:cs="Times New Roman"/>
              </w:rPr>
              <w:t>Civil Engineering</w:t>
            </w:r>
          </w:p>
        </w:tc>
        <w:tc>
          <w:tcPr>
            <w:tcW w:w="2914" w:type="dxa"/>
          </w:tcPr>
          <w:p w14:paraId="153FBFED">
            <w:pPr>
              <w:tabs>
                <w:tab w:val="left" w:pos="220"/>
              </w:tabs>
              <w:rPr>
                <w:rFonts w:cs="Times New Roman"/>
              </w:rPr>
            </w:pPr>
            <w:r>
              <w:rPr>
                <w:rFonts w:cs="Times New Roman"/>
              </w:rPr>
              <w:t>Two Words that Do Not Fit-Structural Collapse: My ViewPoints and the Paradox of Engineering Training and Practice in Nigeria (84pp)</w:t>
            </w:r>
          </w:p>
        </w:tc>
        <w:tc>
          <w:tcPr>
            <w:tcW w:w="1226" w:type="dxa"/>
          </w:tcPr>
          <w:p w14:paraId="49B2B5EC">
            <w:pPr>
              <w:tabs>
                <w:tab w:val="left" w:pos="220"/>
              </w:tabs>
              <w:rPr>
                <w:rFonts w:cs="Times New Roman"/>
              </w:rPr>
            </w:pPr>
            <w:r>
              <w:rPr>
                <w:rFonts w:cs="Times New Roman"/>
              </w:rPr>
              <w:t>10</w:t>
            </w:r>
            <w:r>
              <w:rPr>
                <w:rFonts w:cs="Times New Roman"/>
                <w:vertAlign w:val="superscript"/>
              </w:rPr>
              <w:t>th</w:t>
            </w:r>
            <w:r>
              <w:rPr>
                <w:rFonts w:cs="Times New Roman"/>
              </w:rPr>
              <w:t xml:space="preserve"> Sep., 2026</w:t>
            </w:r>
          </w:p>
        </w:tc>
      </w:tr>
      <w:tr w14:paraId="6070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C406B61">
            <w:pPr>
              <w:tabs>
                <w:tab w:val="left" w:pos="220"/>
              </w:tabs>
              <w:rPr>
                <w:rFonts w:cs="Times New Roman"/>
              </w:rPr>
            </w:pPr>
            <w:r>
              <w:rPr>
                <w:rFonts w:cs="Times New Roman"/>
              </w:rPr>
              <w:t>154</w:t>
            </w:r>
          </w:p>
        </w:tc>
        <w:tc>
          <w:tcPr>
            <w:tcW w:w="3131" w:type="dxa"/>
          </w:tcPr>
          <w:p w14:paraId="4E64727B">
            <w:pPr>
              <w:tabs>
                <w:tab w:val="left" w:pos="220"/>
              </w:tabs>
              <w:rPr>
                <w:rFonts w:cs="Times New Roman"/>
              </w:rPr>
            </w:pPr>
            <w:r>
              <w:rPr>
                <w:rFonts w:cs="Times New Roman"/>
              </w:rPr>
              <w:t>Prof. Nosakhare Godwin Osagie; B.Sc; M.Sc (Ilorin); PhD (Abakaliki); FIPD; FAMN; FIMC; MISM; CMC; UN-POLAC PEACE AMBASSADOR</w:t>
            </w:r>
          </w:p>
        </w:tc>
        <w:tc>
          <w:tcPr>
            <w:tcW w:w="1549" w:type="dxa"/>
          </w:tcPr>
          <w:p w14:paraId="7E88B777">
            <w:pPr>
              <w:tabs>
                <w:tab w:val="left" w:pos="220"/>
              </w:tabs>
              <w:rPr>
                <w:rFonts w:cs="Times New Roman"/>
              </w:rPr>
            </w:pPr>
            <w:r>
              <w:rPr>
                <w:rFonts w:cs="Times New Roman"/>
              </w:rPr>
              <w:t>Business Administration</w:t>
            </w:r>
          </w:p>
        </w:tc>
        <w:tc>
          <w:tcPr>
            <w:tcW w:w="2914" w:type="dxa"/>
          </w:tcPr>
          <w:p w14:paraId="5DF347D1">
            <w:pPr>
              <w:tabs>
                <w:tab w:val="left" w:pos="220"/>
              </w:tabs>
              <w:rPr>
                <w:rFonts w:cs="Times New Roman"/>
              </w:rPr>
            </w:pPr>
            <w:r>
              <w:rPr>
                <w:rFonts w:cs="Times New Roman"/>
              </w:rPr>
              <w:t>Change Management as a Paradox for Organizational Survival (59pp)</w:t>
            </w:r>
          </w:p>
        </w:tc>
        <w:tc>
          <w:tcPr>
            <w:tcW w:w="1226" w:type="dxa"/>
          </w:tcPr>
          <w:p w14:paraId="5916F2DE">
            <w:pPr>
              <w:tabs>
                <w:tab w:val="left" w:pos="220"/>
              </w:tabs>
              <w:rPr>
                <w:rFonts w:cs="Times New Roman"/>
              </w:rPr>
            </w:pPr>
            <w:r>
              <w:rPr>
                <w:rFonts w:cs="Times New Roman"/>
              </w:rPr>
              <w:t>24</w:t>
            </w:r>
            <w:r>
              <w:rPr>
                <w:rFonts w:cs="Times New Roman"/>
                <w:vertAlign w:val="superscript"/>
              </w:rPr>
              <w:t>th</w:t>
            </w:r>
            <w:r>
              <w:rPr>
                <w:rFonts w:cs="Times New Roman"/>
              </w:rPr>
              <w:t xml:space="preserve"> Sep., 2026</w:t>
            </w:r>
          </w:p>
        </w:tc>
      </w:tr>
      <w:tr w14:paraId="3F1E4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7334F41">
            <w:pPr>
              <w:tabs>
                <w:tab w:val="left" w:pos="220"/>
              </w:tabs>
              <w:rPr>
                <w:rFonts w:hint="default" w:cs="Times New Roman"/>
                <w:lang w:val="en-US"/>
              </w:rPr>
            </w:pPr>
            <w:r>
              <w:rPr>
                <w:rFonts w:hint="default" w:cs="Times New Roman"/>
                <w:lang w:val="en-US"/>
              </w:rPr>
              <w:t>155</w:t>
            </w:r>
          </w:p>
        </w:tc>
        <w:tc>
          <w:tcPr>
            <w:tcW w:w="3131" w:type="dxa"/>
          </w:tcPr>
          <w:p w14:paraId="66E0BDF0">
            <w:pPr>
              <w:tabs>
                <w:tab w:val="left" w:pos="220"/>
              </w:tabs>
              <w:rPr>
                <w:rFonts w:hint="default" w:cs="Times New Roman"/>
                <w:lang w:val="en-US"/>
              </w:rPr>
            </w:pPr>
            <w:r>
              <w:rPr>
                <w:rFonts w:hint="default" w:cs="Times New Roman"/>
                <w:lang w:val="en-US"/>
              </w:rPr>
              <w:t>Prof. Julius Idialu Ikharehon; B.Sc (Hons); MBA (Uniport); M.Phil (Ife); PhD (Ife); FIMC; MAMN; FBSE; MSM</w:t>
            </w:r>
          </w:p>
        </w:tc>
        <w:tc>
          <w:tcPr>
            <w:tcW w:w="1549" w:type="dxa"/>
          </w:tcPr>
          <w:p w14:paraId="0D302C62">
            <w:pPr>
              <w:tabs>
                <w:tab w:val="left" w:pos="220"/>
              </w:tabs>
              <w:rPr>
                <w:rFonts w:hint="default" w:cs="Times New Roman"/>
                <w:lang w:val="en-US"/>
              </w:rPr>
            </w:pPr>
            <w:r>
              <w:rPr>
                <w:rFonts w:hint="default" w:cs="Times New Roman"/>
                <w:lang w:val="en-US"/>
              </w:rPr>
              <w:t>Business Administration</w:t>
            </w:r>
          </w:p>
        </w:tc>
        <w:tc>
          <w:tcPr>
            <w:tcW w:w="2914" w:type="dxa"/>
          </w:tcPr>
          <w:p w14:paraId="31D1DA23">
            <w:pPr>
              <w:tabs>
                <w:tab w:val="left" w:pos="220"/>
              </w:tabs>
              <w:rPr>
                <w:rFonts w:hint="default" w:cs="Times New Roman"/>
                <w:lang w:val="en-US"/>
              </w:rPr>
            </w:pPr>
            <w:r>
              <w:rPr>
                <w:rFonts w:hint="default" w:cs="Times New Roman"/>
                <w:lang w:val="en-US"/>
              </w:rPr>
              <w:t>From Corporate Social Responsibility to Strategic National Transformation: Repositioning Strategic Management and Corporate Governance for Nigeria’s Sustainable Development (77pp)</w:t>
            </w:r>
          </w:p>
        </w:tc>
        <w:tc>
          <w:tcPr>
            <w:tcW w:w="1226" w:type="dxa"/>
          </w:tcPr>
          <w:p w14:paraId="1D91E142">
            <w:pPr>
              <w:tabs>
                <w:tab w:val="left" w:pos="220"/>
              </w:tabs>
              <w:rPr>
                <w:rFonts w:hint="default" w:cs="Times New Roman"/>
                <w:lang w:val="en-US"/>
              </w:rPr>
            </w:pPr>
            <w:r>
              <w:rPr>
                <w:rFonts w:hint="default" w:cs="Times New Roman"/>
                <w:lang w:val="en-US"/>
              </w:rPr>
              <w:t>8</w:t>
            </w:r>
            <w:r>
              <w:rPr>
                <w:rFonts w:hint="default" w:cs="Times New Roman"/>
                <w:vertAlign w:val="superscript"/>
                <w:lang w:val="en-US"/>
              </w:rPr>
              <w:t>th</w:t>
            </w:r>
            <w:r>
              <w:rPr>
                <w:rFonts w:hint="default" w:cs="Times New Roman"/>
                <w:lang w:val="en-US"/>
              </w:rPr>
              <w:t xml:space="preserve"> Oct., 2026</w:t>
            </w:r>
          </w:p>
        </w:tc>
      </w:tr>
    </w:tbl>
    <w:p w14:paraId="7D8A2EBB">
      <w:pPr>
        <w:jc w:val="both"/>
        <w:rPr>
          <w:rFonts w:cs="Times New Roman"/>
          <w:szCs w:val="24"/>
        </w:rPr>
      </w:pPr>
    </w:p>
    <w:sectPr>
      <w:pgSz w:w="11906" w:h="16838"/>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DengXian">
    <w:altName w:val="SimSun"/>
    <w:panose1 w:val="02010600030101010101"/>
    <w:charset w:val="86"/>
    <w:family w:val="auto"/>
    <w:pitch w:val="default"/>
    <w:sig w:usb0="00000000" w:usb1="00000000"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1"/>
      <w:lvlText w:val=""/>
      <w:lvlJc w:val="left"/>
      <w:pPr>
        <w:tabs>
          <w:tab w:val="left" w:pos="360"/>
        </w:tabs>
        <w:ind w:left="360" w:hanging="360"/>
      </w:pPr>
      <w:rPr>
        <w:rFonts w:hint="default" w:ascii="Symbol" w:hAnsi="Symbol"/>
      </w:rPr>
    </w:lvl>
  </w:abstractNum>
  <w:abstractNum w:abstractNumId="1">
    <w:nsid w:val="2D2058F9"/>
    <w:multiLevelType w:val="multilevel"/>
    <w:tmpl w:val="2D2058F9"/>
    <w:lvl w:ilvl="0" w:tentative="0">
      <w:start w:val="1"/>
      <w:numFmt w:val="lowerRoman"/>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D3F"/>
    <w:rsid w:val="000045BF"/>
    <w:rsid w:val="00005344"/>
    <w:rsid w:val="000123DE"/>
    <w:rsid w:val="000274E6"/>
    <w:rsid w:val="00032FEF"/>
    <w:rsid w:val="00036CB4"/>
    <w:rsid w:val="00047CCB"/>
    <w:rsid w:val="0005274E"/>
    <w:rsid w:val="000532F8"/>
    <w:rsid w:val="000565F4"/>
    <w:rsid w:val="000727AA"/>
    <w:rsid w:val="00084DFC"/>
    <w:rsid w:val="00084FBC"/>
    <w:rsid w:val="00095D6B"/>
    <w:rsid w:val="000B3FB2"/>
    <w:rsid w:val="000B4716"/>
    <w:rsid w:val="000C5D7E"/>
    <w:rsid w:val="000E63B5"/>
    <w:rsid w:val="00117471"/>
    <w:rsid w:val="001208C4"/>
    <w:rsid w:val="001249EF"/>
    <w:rsid w:val="0012615B"/>
    <w:rsid w:val="00140C8B"/>
    <w:rsid w:val="0015494E"/>
    <w:rsid w:val="00171A6A"/>
    <w:rsid w:val="00176289"/>
    <w:rsid w:val="001869C6"/>
    <w:rsid w:val="001A25C5"/>
    <w:rsid w:val="001A5A6A"/>
    <w:rsid w:val="001B1ADF"/>
    <w:rsid w:val="001B482D"/>
    <w:rsid w:val="001D7231"/>
    <w:rsid w:val="001D7B93"/>
    <w:rsid w:val="001E3645"/>
    <w:rsid w:val="00202048"/>
    <w:rsid w:val="00205446"/>
    <w:rsid w:val="002119CD"/>
    <w:rsid w:val="002142A4"/>
    <w:rsid w:val="00235993"/>
    <w:rsid w:val="00243C41"/>
    <w:rsid w:val="00245C3A"/>
    <w:rsid w:val="0025004F"/>
    <w:rsid w:val="00257143"/>
    <w:rsid w:val="00257FB3"/>
    <w:rsid w:val="002905A4"/>
    <w:rsid w:val="002A307C"/>
    <w:rsid w:val="002A7CEB"/>
    <w:rsid w:val="002B256A"/>
    <w:rsid w:val="002C1143"/>
    <w:rsid w:val="002C4843"/>
    <w:rsid w:val="002C5457"/>
    <w:rsid w:val="002C7B49"/>
    <w:rsid w:val="002D186B"/>
    <w:rsid w:val="002D1E21"/>
    <w:rsid w:val="002D73F7"/>
    <w:rsid w:val="002F54D1"/>
    <w:rsid w:val="002F603D"/>
    <w:rsid w:val="003101D8"/>
    <w:rsid w:val="003379B4"/>
    <w:rsid w:val="003629A1"/>
    <w:rsid w:val="0037122A"/>
    <w:rsid w:val="00376D7B"/>
    <w:rsid w:val="00381CC4"/>
    <w:rsid w:val="003C4F5D"/>
    <w:rsid w:val="003D0E7E"/>
    <w:rsid w:val="003E2595"/>
    <w:rsid w:val="0040651D"/>
    <w:rsid w:val="00433FCD"/>
    <w:rsid w:val="00444427"/>
    <w:rsid w:val="00447BE1"/>
    <w:rsid w:val="00451CDD"/>
    <w:rsid w:val="004544F1"/>
    <w:rsid w:val="004557D3"/>
    <w:rsid w:val="00464DA2"/>
    <w:rsid w:val="00476B2F"/>
    <w:rsid w:val="004826E7"/>
    <w:rsid w:val="004A42BB"/>
    <w:rsid w:val="004B2964"/>
    <w:rsid w:val="004B3E9B"/>
    <w:rsid w:val="004C0A26"/>
    <w:rsid w:val="004C0DB5"/>
    <w:rsid w:val="004C2801"/>
    <w:rsid w:val="004D10D5"/>
    <w:rsid w:val="00504658"/>
    <w:rsid w:val="0051182E"/>
    <w:rsid w:val="005218F5"/>
    <w:rsid w:val="00542B85"/>
    <w:rsid w:val="00545619"/>
    <w:rsid w:val="00556E6D"/>
    <w:rsid w:val="00581795"/>
    <w:rsid w:val="0059735F"/>
    <w:rsid w:val="00597FC5"/>
    <w:rsid w:val="005B1B10"/>
    <w:rsid w:val="005F17BF"/>
    <w:rsid w:val="005F7A83"/>
    <w:rsid w:val="00656C39"/>
    <w:rsid w:val="0067338A"/>
    <w:rsid w:val="0069304A"/>
    <w:rsid w:val="006C0D46"/>
    <w:rsid w:val="006D45F7"/>
    <w:rsid w:val="006E2499"/>
    <w:rsid w:val="006E492A"/>
    <w:rsid w:val="006F3988"/>
    <w:rsid w:val="006F7D8F"/>
    <w:rsid w:val="00702D7B"/>
    <w:rsid w:val="00751355"/>
    <w:rsid w:val="00763EFD"/>
    <w:rsid w:val="0077173D"/>
    <w:rsid w:val="007722CE"/>
    <w:rsid w:val="00775DED"/>
    <w:rsid w:val="007C7F94"/>
    <w:rsid w:val="007D5BC0"/>
    <w:rsid w:val="007D6B9A"/>
    <w:rsid w:val="007F70B8"/>
    <w:rsid w:val="008321AD"/>
    <w:rsid w:val="008412E0"/>
    <w:rsid w:val="00841E8D"/>
    <w:rsid w:val="0084274D"/>
    <w:rsid w:val="008565C4"/>
    <w:rsid w:val="00885DFB"/>
    <w:rsid w:val="008903F8"/>
    <w:rsid w:val="00892EBD"/>
    <w:rsid w:val="008C3A96"/>
    <w:rsid w:val="008D76B9"/>
    <w:rsid w:val="008E7FEB"/>
    <w:rsid w:val="008F3809"/>
    <w:rsid w:val="008F3F44"/>
    <w:rsid w:val="00906702"/>
    <w:rsid w:val="00914A40"/>
    <w:rsid w:val="00925C73"/>
    <w:rsid w:val="00936CE2"/>
    <w:rsid w:val="00956970"/>
    <w:rsid w:val="00995E3E"/>
    <w:rsid w:val="009C1450"/>
    <w:rsid w:val="009C31BF"/>
    <w:rsid w:val="009F57F0"/>
    <w:rsid w:val="00A20EDC"/>
    <w:rsid w:val="00A37F61"/>
    <w:rsid w:val="00A50D26"/>
    <w:rsid w:val="00A51085"/>
    <w:rsid w:val="00AA30A6"/>
    <w:rsid w:val="00AA73FE"/>
    <w:rsid w:val="00AC00F4"/>
    <w:rsid w:val="00AC250B"/>
    <w:rsid w:val="00AC4197"/>
    <w:rsid w:val="00AC60BD"/>
    <w:rsid w:val="00AC6782"/>
    <w:rsid w:val="00AC6DE3"/>
    <w:rsid w:val="00AD0F04"/>
    <w:rsid w:val="00AD57AF"/>
    <w:rsid w:val="00AE7A74"/>
    <w:rsid w:val="00AF314C"/>
    <w:rsid w:val="00B251C5"/>
    <w:rsid w:val="00B34F89"/>
    <w:rsid w:val="00B42941"/>
    <w:rsid w:val="00B56CD8"/>
    <w:rsid w:val="00B875FA"/>
    <w:rsid w:val="00B93D0E"/>
    <w:rsid w:val="00BA7F85"/>
    <w:rsid w:val="00BB15FD"/>
    <w:rsid w:val="00BD1C8A"/>
    <w:rsid w:val="00BF498E"/>
    <w:rsid w:val="00C02EFC"/>
    <w:rsid w:val="00C17AA9"/>
    <w:rsid w:val="00C256B4"/>
    <w:rsid w:val="00C30553"/>
    <w:rsid w:val="00C62358"/>
    <w:rsid w:val="00C72E76"/>
    <w:rsid w:val="00C90D3F"/>
    <w:rsid w:val="00C92080"/>
    <w:rsid w:val="00CA30B4"/>
    <w:rsid w:val="00CB1515"/>
    <w:rsid w:val="00CD056E"/>
    <w:rsid w:val="00D009FF"/>
    <w:rsid w:val="00D03D36"/>
    <w:rsid w:val="00D23DB6"/>
    <w:rsid w:val="00D50269"/>
    <w:rsid w:val="00D51F4A"/>
    <w:rsid w:val="00D56AC5"/>
    <w:rsid w:val="00D81B26"/>
    <w:rsid w:val="00D87CA3"/>
    <w:rsid w:val="00DC6780"/>
    <w:rsid w:val="00DD03FD"/>
    <w:rsid w:val="00DD5BE9"/>
    <w:rsid w:val="00E15E1F"/>
    <w:rsid w:val="00E20E71"/>
    <w:rsid w:val="00E44942"/>
    <w:rsid w:val="00E57B06"/>
    <w:rsid w:val="00E60AFD"/>
    <w:rsid w:val="00E620EC"/>
    <w:rsid w:val="00E76B2D"/>
    <w:rsid w:val="00E82B78"/>
    <w:rsid w:val="00EA28A8"/>
    <w:rsid w:val="00EB29E8"/>
    <w:rsid w:val="00EB7E62"/>
    <w:rsid w:val="00ED30AB"/>
    <w:rsid w:val="00EE5092"/>
    <w:rsid w:val="00F02EBC"/>
    <w:rsid w:val="00F07B24"/>
    <w:rsid w:val="00F278FF"/>
    <w:rsid w:val="00F27D11"/>
    <w:rsid w:val="00F74229"/>
    <w:rsid w:val="00F975D0"/>
    <w:rsid w:val="00FA0485"/>
    <w:rsid w:val="00FA3AB4"/>
    <w:rsid w:val="00FF1129"/>
    <w:rsid w:val="00FF660C"/>
    <w:rsid w:val="16453704"/>
    <w:rsid w:val="2B842E76"/>
    <w:rsid w:val="314822DC"/>
    <w:rsid w:val="6B852FC9"/>
    <w:rsid w:val="748507EA"/>
    <w:rsid w:val="7DB923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4"/>
      <w:szCs w:val="22"/>
      <w:lang w:val="en-US" w:eastAsia="en-US" w:bidi="ar-SA"/>
    </w:rPr>
  </w:style>
  <w:style w:type="paragraph" w:styleId="2">
    <w:name w:val="heading 1"/>
    <w:basedOn w:val="1"/>
    <w:next w:val="1"/>
    <w:link w:val="15"/>
    <w:qFormat/>
    <w:uiPriority w:val="0"/>
    <w:pPr>
      <w:keepNext/>
      <w:keepLines/>
      <w:spacing w:before="480" w:after="0"/>
      <w:outlineLvl w:val="0"/>
    </w:pPr>
    <w:rPr>
      <w:rFonts w:asciiTheme="majorHAnsi" w:hAnsiTheme="majorHAnsi" w:eastAsiaTheme="majorEastAsia" w:cstheme="majorBidi"/>
      <w:b/>
      <w:bCs/>
      <w:color w:val="2F5597" w:themeColor="accent1" w:themeShade="BF"/>
      <w:sz w:val="30"/>
      <w:szCs w:val="28"/>
    </w:rPr>
  </w:style>
  <w:style w:type="paragraph" w:styleId="3">
    <w:name w:val="heading 2"/>
    <w:basedOn w:val="1"/>
    <w:next w:val="1"/>
    <w:link w:val="16"/>
    <w:unhideWhenUsed/>
    <w:qFormat/>
    <w:uiPriority w:val="9"/>
    <w:pPr>
      <w:keepNext/>
      <w:keepLines/>
      <w:spacing w:before="40" w:after="0"/>
      <w:outlineLvl w:val="1"/>
    </w:pPr>
    <w:rPr>
      <w:rFonts w:asciiTheme="majorHAnsi" w:hAnsiTheme="majorHAnsi" w:eastAsiaTheme="majorEastAsia" w:cstheme="majorBidi"/>
      <w:color w:val="2F5597" w:themeColor="accent1" w:themeShade="BF"/>
      <w:sz w:val="26"/>
      <w:szCs w:val="26"/>
    </w:rPr>
  </w:style>
  <w:style w:type="paragraph" w:styleId="4">
    <w:name w:val="heading 3"/>
    <w:basedOn w:val="1"/>
    <w:next w:val="1"/>
    <w:link w:val="18"/>
    <w:unhideWhenUsed/>
    <w:qFormat/>
    <w:uiPriority w:val="9"/>
    <w:pPr>
      <w:keepNext/>
      <w:keepLines/>
      <w:spacing w:before="40" w:after="0"/>
      <w:outlineLvl w:val="2"/>
    </w:pPr>
    <w:rPr>
      <w:rFonts w:asciiTheme="majorHAnsi" w:hAnsiTheme="majorHAnsi" w:eastAsiaTheme="majorEastAsia" w:cstheme="majorBidi"/>
      <w:color w:val="203864" w:themeColor="accent1" w:themeShade="80"/>
      <w:szCs w:val="24"/>
    </w:rPr>
  </w:style>
  <w:style w:type="paragraph" w:styleId="5">
    <w:name w:val="heading 4"/>
    <w:basedOn w:val="1"/>
    <w:next w:val="1"/>
    <w:link w:val="17"/>
    <w:unhideWhenUsed/>
    <w:qFormat/>
    <w:uiPriority w:val="9"/>
    <w:pPr>
      <w:keepNext/>
      <w:keepLines/>
      <w:spacing w:before="40" w:after="0" w:line="259" w:lineRule="auto"/>
      <w:outlineLvl w:val="3"/>
    </w:pPr>
    <w:rPr>
      <w:rFonts w:asciiTheme="majorHAnsi" w:hAnsiTheme="majorHAnsi" w:eastAsiaTheme="majorEastAsia" w:cstheme="majorBidi"/>
      <w:i/>
      <w:iCs/>
      <w:color w:val="2F5597" w:themeColor="accent1" w:themeShade="BF"/>
      <w:sz w:val="22"/>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paragraph" w:styleId="9">
    <w:name w:val="footer"/>
    <w:basedOn w:val="1"/>
    <w:link w:val="21"/>
    <w:unhideWhenUsed/>
    <w:qFormat/>
    <w:uiPriority w:val="99"/>
    <w:pPr>
      <w:tabs>
        <w:tab w:val="center" w:pos="4513"/>
        <w:tab w:val="right" w:pos="9026"/>
      </w:tabs>
      <w:spacing w:after="0" w:line="240" w:lineRule="auto"/>
    </w:pPr>
    <w:rPr>
      <w:rFonts w:asciiTheme="minorHAnsi" w:hAnsiTheme="minorHAnsi" w:eastAsiaTheme="minorHAnsi"/>
      <w:sz w:val="22"/>
    </w:rPr>
  </w:style>
  <w:style w:type="paragraph" w:styleId="10">
    <w:name w:val="header"/>
    <w:basedOn w:val="1"/>
    <w:link w:val="22"/>
    <w:unhideWhenUsed/>
    <w:qFormat/>
    <w:uiPriority w:val="99"/>
    <w:pPr>
      <w:tabs>
        <w:tab w:val="center" w:pos="4513"/>
        <w:tab w:val="right" w:pos="9026"/>
      </w:tabs>
      <w:spacing w:after="0" w:line="240" w:lineRule="auto"/>
    </w:pPr>
    <w:rPr>
      <w:rFonts w:asciiTheme="minorHAnsi" w:hAnsiTheme="minorHAnsi" w:eastAsiaTheme="minorHAnsi"/>
      <w:sz w:val="22"/>
    </w:rPr>
  </w:style>
  <w:style w:type="paragraph" w:styleId="11">
    <w:name w:val="List Bullet"/>
    <w:basedOn w:val="1"/>
    <w:unhideWhenUsed/>
    <w:qFormat/>
    <w:uiPriority w:val="99"/>
    <w:pPr>
      <w:numPr>
        <w:ilvl w:val="0"/>
        <w:numId w:val="1"/>
      </w:numPr>
      <w:contextualSpacing/>
    </w:pPr>
  </w:style>
  <w:style w:type="paragraph" w:styleId="12">
    <w:name w:val="Normal (Web)"/>
    <w:basedOn w:val="1"/>
    <w:unhideWhenUsed/>
    <w:qFormat/>
    <w:uiPriority w:val="99"/>
    <w:pPr>
      <w:spacing w:before="100" w:beforeAutospacing="1" w:after="100" w:afterAutospacing="1" w:line="240" w:lineRule="auto"/>
    </w:pPr>
    <w:rPr>
      <w:rFonts w:eastAsia="Times New Roman" w:cs="Times New Roman"/>
      <w:szCs w:val="24"/>
    </w:rPr>
  </w:style>
  <w:style w:type="character" w:styleId="13">
    <w:name w:val="Strong"/>
    <w:basedOn w:val="6"/>
    <w:qFormat/>
    <w:uiPriority w:val="22"/>
    <w:rPr>
      <w:b/>
      <w:bCs/>
    </w:rPr>
  </w:style>
  <w:style w:type="table" w:styleId="14">
    <w:name w:val="Table Grid"/>
    <w:basedOn w:val="7"/>
    <w:qFormat/>
    <w:uiPriority w:val="99"/>
    <w:pPr>
      <w:spacing w:after="0" w:line="240" w:lineRule="auto"/>
    </w:pPr>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Heading 1 Char"/>
    <w:basedOn w:val="6"/>
    <w:link w:val="2"/>
    <w:qFormat/>
    <w:uiPriority w:val="0"/>
    <w:rPr>
      <w:rFonts w:asciiTheme="majorHAnsi" w:hAnsiTheme="majorHAnsi" w:eastAsiaTheme="majorEastAsia" w:cstheme="majorBidi"/>
      <w:b/>
      <w:bCs/>
      <w:color w:val="2F5597" w:themeColor="accent1" w:themeShade="BF"/>
      <w:sz w:val="30"/>
      <w:szCs w:val="28"/>
    </w:rPr>
  </w:style>
  <w:style w:type="character" w:customStyle="1" w:styleId="16">
    <w:name w:val="Heading 2 Char"/>
    <w:basedOn w:val="6"/>
    <w:link w:val="3"/>
    <w:qFormat/>
    <w:uiPriority w:val="9"/>
    <w:rPr>
      <w:rFonts w:asciiTheme="majorHAnsi" w:hAnsiTheme="majorHAnsi" w:eastAsiaTheme="majorEastAsia" w:cstheme="majorBidi"/>
      <w:color w:val="2F5597" w:themeColor="accent1" w:themeShade="BF"/>
      <w:sz w:val="26"/>
      <w:szCs w:val="26"/>
    </w:rPr>
  </w:style>
  <w:style w:type="character" w:customStyle="1" w:styleId="17">
    <w:name w:val="Heading 4 Char"/>
    <w:basedOn w:val="6"/>
    <w:link w:val="5"/>
    <w:qFormat/>
    <w:uiPriority w:val="9"/>
    <w:rPr>
      <w:rFonts w:asciiTheme="majorHAnsi" w:hAnsiTheme="majorHAnsi" w:eastAsiaTheme="majorEastAsia" w:cstheme="majorBidi"/>
      <w:i/>
      <w:iCs/>
      <w:color w:val="2F5597" w:themeColor="accent1" w:themeShade="BF"/>
    </w:rPr>
  </w:style>
  <w:style w:type="character" w:customStyle="1" w:styleId="18">
    <w:name w:val="Heading 3 Char"/>
    <w:basedOn w:val="6"/>
    <w:link w:val="4"/>
    <w:qFormat/>
    <w:uiPriority w:val="9"/>
    <w:rPr>
      <w:rFonts w:asciiTheme="majorHAnsi" w:hAnsiTheme="majorHAnsi" w:eastAsiaTheme="majorEastAsia" w:cstheme="majorBidi"/>
      <w:color w:val="203864" w:themeColor="accent1" w:themeShade="80"/>
      <w:sz w:val="24"/>
      <w:szCs w:val="24"/>
    </w:rPr>
  </w:style>
  <w:style w:type="paragraph" w:styleId="19">
    <w:name w:val="No Spacing"/>
    <w:qFormat/>
    <w:uiPriority w:val="1"/>
    <w:pPr>
      <w:spacing w:after="0" w:line="240" w:lineRule="auto"/>
    </w:pPr>
    <w:rPr>
      <w:rFonts w:ascii="Calibri" w:hAnsi="Calibri" w:eastAsia="Calibri" w:cs="Times New Roman"/>
      <w:sz w:val="22"/>
      <w:szCs w:val="22"/>
      <w:lang w:val="en-GB" w:eastAsia="en-US" w:bidi="ar-SA"/>
    </w:rPr>
  </w:style>
  <w:style w:type="paragraph" w:customStyle="1" w:styleId="20">
    <w:name w:val="pdq2pg_selectionanchorcontainer"/>
    <w:basedOn w:val="1"/>
    <w:qFormat/>
    <w:uiPriority w:val="0"/>
    <w:pPr>
      <w:spacing w:before="100" w:beforeAutospacing="1" w:after="100" w:afterAutospacing="1" w:line="240" w:lineRule="auto"/>
    </w:pPr>
    <w:rPr>
      <w:rFonts w:eastAsia="Times New Roman" w:cs="Times New Roman"/>
      <w:szCs w:val="24"/>
    </w:rPr>
  </w:style>
  <w:style w:type="character" w:customStyle="1" w:styleId="21">
    <w:name w:val="Footer Char"/>
    <w:basedOn w:val="6"/>
    <w:link w:val="9"/>
    <w:qFormat/>
    <w:uiPriority w:val="99"/>
  </w:style>
  <w:style w:type="character" w:customStyle="1" w:styleId="22">
    <w:name w:val="Header Char"/>
    <w:basedOn w:val="6"/>
    <w:link w:val="10"/>
    <w:qFormat/>
    <w:uiPriority w:val="99"/>
  </w:style>
  <w:style w:type="paragraph" w:styleId="23">
    <w:name w:val="List Paragraph"/>
    <w:basedOn w:val="1"/>
    <w:qFormat/>
    <w:uiPriority w:val="34"/>
    <w:pPr>
      <w:spacing w:after="160" w:line="259" w:lineRule="auto"/>
      <w:ind w:left="720"/>
      <w:contextualSpacing/>
    </w:pPr>
    <w:rPr>
      <w:rFonts w:asciiTheme="minorHAnsi" w:hAnsiTheme="minorHAnsi" w:eastAsiaTheme="minorHAnsi"/>
      <w:sz w:val="22"/>
    </w:rPr>
  </w:style>
  <w:style w:type="character" w:customStyle="1" w:styleId="24">
    <w:name w:val="15"/>
    <w:basedOn w:val="6"/>
    <w:qFormat/>
    <w:uiPriority w:val="0"/>
    <w:rPr>
      <w:rFonts w:hint="default" w:ascii="Calibri" w:hAnsi="Calibri" w:cs="Calibri"/>
      <w:b/>
      <w:bCs/>
    </w:rPr>
  </w:style>
  <w:style w:type="character" w:customStyle="1" w:styleId="25">
    <w:name w:val="16"/>
    <w:basedOn w:val="6"/>
    <w:qFormat/>
    <w:uiPriority w:val="0"/>
    <w:rPr>
      <w:rFonts w:hint="default" w:ascii="Calibri" w:hAnsi="Calibri" w:cs="Calibri"/>
      <w:i/>
      <w:iC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084DB-962D-44BD-B1DA-ABC33F74F72D}">
  <ds:schemaRefs/>
</ds:datastoreItem>
</file>

<file path=docProps/app.xml><?xml version="1.0" encoding="utf-8"?>
<Properties xmlns="http://schemas.openxmlformats.org/officeDocument/2006/extended-properties" xmlns:vt="http://schemas.openxmlformats.org/officeDocument/2006/docPropsVTypes">
  <Template>Normal</Template>
  <Pages>70</Pages>
  <Words>24417</Words>
  <Characters>145656</Characters>
  <Lines>1207</Lines>
  <Paragraphs>339</Paragraphs>
  <TotalTime>738</TotalTime>
  <ScaleCrop>false</ScaleCrop>
  <LinksUpToDate>false</LinksUpToDate>
  <CharactersWithSpaces>168995</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2026-09-19T16:07:00Z</dcterms:created>
  <dc:creator>hp</dc:creator>
  <cp:lastModifiedBy>AAU LIBRAY</cp:lastModifiedBy>
  <dcterms:modified xsi:type="dcterms:W3CDTF">2026-10-22T11:20:58Z</dcterms:modified>
  <cp:revision>153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1f56c25a-2fc1-4b14-be62-3cc4d5786746</vt:lpwstr>
  </property>
  <property fmtid="{D5CDD505-2E9C-101B-9397-08002B2CF9AE}" pid="3" name="KSOTemplateDocerSaveRecord">
    <vt:lpwstr>eyJoZGlkIjoiZDliOWM2MzNlZjk4NTNhNjlmZThmZjcxNGE1Y2Q0ZmIifQ==</vt:lpwstr>
  </property>
  <property fmtid="{D5CDD505-2E9C-101B-9397-08002B2CF9AE}" pid="4" name="KSOProductBuildVer">
    <vt:lpwstr>1033-12.2.0.23196</vt:lpwstr>
  </property>
  <property fmtid="{D5CDD505-2E9C-101B-9397-08002B2CF9AE}" pid="5" name="ICV">
    <vt:lpwstr>95E9BB298C034C3F98FAD808036E0D41_13</vt:lpwstr>
  </property>
</Properties>
</file>